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9E1AF6" w:rsidRDefault="006544C4" w:rsidP="009E1AF6">
      <w:pPr>
        <w:jc w:val="center"/>
        <w:rPr>
          <w:lang w:val="fr-FR"/>
        </w:rPr>
      </w:pPr>
      <w:bookmarkStart w:id="0" w:name="_GoBack"/>
      <w:bookmarkEnd w:id="0"/>
    </w:p>
    <w:p w:rsidR="0094178F" w:rsidRPr="009E1AF6" w:rsidRDefault="0094178F" w:rsidP="009E1AF6">
      <w:pPr>
        <w:jc w:val="center"/>
        <w:rPr>
          <w:sz w:val="4"/>
          <w:szCs w:val="4"/>
          <w:lang w:val="fr-FR"/>
        </w:rPr>
      </w:pPr>
    </w:p>
    <w:p w:rsidR="006544C4" w:rsidRPr="009E1AF6" w:rsidRDefault="00B96D41" w:rsidP="009E1AF6">
      <w:pPr>
        <w:pStyle w:val="DecHTitle"/>
        <w:rPr>
          <w:lang w:val="fr-FR"/>
        </w:rPr>
      </w:pPr>
      <w:r w:rsidRPr="009E1AF6">
        <w:rPr>
          <w:szCs w:val="24"/>
          <w:lang w:val="fr-FR"/>
        </w:rPr>
        <w:t>PREMIÈRE SECTION</w:t>
      </w:r>
    </w:p>
    <w:p w:rsidR="006544C4" w:rsidRPr="009E1AF6" w:rsidRDefault="006544C4" w:rsidP="009E1AF6">
      <w:pPr>
        <w:pStyle w:val="DecHTitle"/>
        <w:rPr>
          <w:caps/>
          <w:sz w:val="32"/>
          <w:lang w:val="fr-FR"/>
        </w:rPr>
      </w:pPr>
      <w:r w:rsidRPr="009E1AF6">
        <w:rPr>
          <w:lang w:val="fr-FR"/>
        </w:rPr>
        <w:t>DÉCISION</w:t>
      </w:r>
    </w:p>
    <w:p w:rsidR="006544C4" w:rsidRPr="009E1AF6" w:rsidRDefault="00B96D41" w:rsidP="009E1AF6">
      <w:pPr>
        <w:pStyle w:val="ECHRTitleCentre2"/>
        <w:rPr>
          <w:lang w:val="fr-FR"/>
        </w:rPr>
      </w:pPr>
      <w:r w:rsidRPr="009E1AF6">
        <w:rPr>
          <w:lang w:val="fr-FR"/>
        </w:rPr>
        <w:t>Requête n</w:t>
      </w:r>
      <w:r w:rsidRPr="009E1AF6">
        <w:rPr>
          <w:vertAlign w:val="superscript"/>
          <w:lang w:val="fr-FR"/>
        </w:rPr>
        <w:t>o</w:t>
      </w:r>
      <w:r w:rsidR="006544C4" w:rsidRPr="009E1AF6">
        <w:rPr>
          <w:lang w:val="fr-FR"/>
        </w:rPr>
        <w:t xml:space="preserve"> </w:t>
      </w:r>
      <w:r w:rsidRPr="009E1AF6">
        <w:rPr>
          <w:lang w:val="fr-FR"/>
        </w:rPr>
        <w:t>18132/10</w:t>
      </w:r>
      <w:r w:rsidR="006544C4" w:rsidRPr="009E1AF6">
        <w:rPr>
          <w:lang w:val="fr-FR"/>
        </w:rPr>
        <w:br/>
      </w:r>
      <w:r w:rsidRPr="009E1AF6">
        <w:rPr>
          <w:lang w:val="fr-FR"/>
        </w:rPr>
        <w:t>Stefano BOSCO</w:t>
      </w:r>
      <w:r w:rsidRPr="009E1AF6">
        <w:rPr>
          <w:lang w:val="fr-FR"/>
        </w:rPr>
        <w:br/>
      </w:r>
      <w:r w:rsidR="006544C4" w:rsidRPr="009E1AF6">
        <w:rPr>
          <w:lang w:val="fr-FR"/>
        </w:rPr>
        <w:t xml:space="preserve">contre </w:t>
      </w:r>
      <w:r w:rsidRPr="009E1AF6">
        <w:rPr>
          <w:lang w:val="fr-FR"/>
        </w:rPr>
        <w:t>l</w:t>
      </w:r>
      <w:r w:rsidR="009E1AF6" w:rsidRPr="009E1AF6">
        <w:rPr>
          <w:lang w:val="fr-FR"/>
        </w:rPr>
        <w:t>’</w:t>
      </w:r>
      <w:r w:rsidRPr="009E1AF6">
        <w:rPr>
          <w:lang w:val="fr-FR"/>
        </w:rPr>
        <w:t>Italie</w:t>
      </w:r>
    </w:p>
    <w:p w:rsidR="00B96D41" w:rsidRPr="009E1AF6" w:rsidRDefault="00B96D41" w:rsidP="009E1AF6">
      <w:pPr>
        <w:pStyle w:val="ECHRPara"/>
        <w:rPr>
          <w:lang w:val="fr-FR"/>
        </w:rPr>
      </w:pPr>
      <w:r w:rsidRPr="009E1AF6">
        <w:rPr>
          <w:lang w:val="fr-FR"/>
        </w:rPr>
        <w:t>La Cour européenne des droits de l</w:t>
      </w:r>
      <w:r w:rsidR="009E1AF6" w:rsidRPr="009E1AF6">
        <w:rPr>
          <w:lang w:val="fr-FR"/>
        </w:rPr>
        <w:t>’</w:t>
      </w:r>
      <w:r w:rsidRPr="009E1AF6">
        <w:rPr>
          <w:lang w:val="fr-FR"/>
        </w:rPr>
        <w:t>homme (première section), siégeant le 26 septembre 2017 en un comité composé de :</w:t>
      </w:r>
    </w:p>
    <w:p w:rsidR="00B96D41" w:rsidRPr="009E1AF6" w:rsidRDefault="00B96D41" w:rsidP="009E1AF6">
      <w:pPr>
        <w:pStyle w:val="ECHRDecisionBody"/>
        <w:rPr>
          <w:lang w:val="fr-FR"/>
        </w:rPr>
      </w:pPr>
      <w:r w:rsidRPr="009E1AF6">
        <w:rPr>
          <w:lang w:val="fr-FR"/>
        </w:rPr>
        <w:tab/>
        <w:t xml:space="preserve">Krzysztof </w:t>
      </w:r>
      <w:proofErr w:type="spellStart"/>
      <w:r w:rsidRPr="009E1AF6">
        <w:rPr>
          <w:lang w:val="fr-FR"/>
        </w:rPr>
        <w:t>Wojtyczek</w:t>
      </w:r>
      <w:proofErr w:type="spellEnd"/>
      <w:r w:rsidRPr="009E1AF6">
        <w:rPr>
          <w:lang w:val="fr-FR"/>
        </w:rPr>
        <w:t>,</w:t>
      </w:r>
      <w:r w:rsidRPr="009E1AF6">
        <w:rPr>
          <w:i/>
          <w:lang w:val="fr-FR"/>
        </w:rPr>
        <w:t xml:space="preserve"> président,</w:t>
      </w:r>
      <w:r w:rsidRPr="009E1AF6">
        <w:rPr>
          <w:i/>
          <w:lang w:val="fr-FR"/>
        </w:rPr>
        <w:br/>
      </w:r>
      <w:r w:rsidRPr="009E1AF6">
        <w:rPr>
          <w:lang w:val="fr-FR"/>
        </w:rPr>
        <w:tab/>
      </w:r>
      <w:proofErr w:type="spellStart"/>
      <w:r w:rsidRPr="009E1AF6">
        <w:rPr>
          <w:lang w:val="fr-FR"/>
        </w:rPr>
        <w:t>Armen</w:t>
      </w:r>
      <w:proofErr w:type="spellEnd"/>
      <w:r w:rsidRPr="009E1AF6">
        <w:rPr>
          <w:lang w:val="fr-FR"/>
        </w:rPr>
        <w:t xml:space="preserve"> </w:t>
      </w:r>
      <w:proofErr w:type="spellStart"/>
      <w:r w:rsidRPr="009E1AF6">
        <w:rPr>
          <w:lang w:val="fr-FR"/>
        </w:rPr>
        <w:t>Harutyunyan</w:t>
      </w:r>
      <w:proofErr w:type="spellEnd"/>
      <w:r w:rsidRPr="009E1AF6">
        <w:rPr>
          <w:lang w:val="fr-FR"/>
        </w:rPr>
        <w:t>,</w:t>
      </w:r>
      <w:r w:rsidRPr="009E1AF6">
        <w:rPr>
          <w:i/>
          <w:lang w:val="fr-FR"/>
        </w:rPr>
        <w:br/>
      </w:r>
      <w:r w:rsidRPr="009E1AF6">
        <w:rPr>
          <w:lang w:val="fr-FR"/>
        </w:rPr>
        <w:tab/>
        <w:t xml:space="preserve">Jovan </w:t>
      </w:r>
      <w:proofErr w:type="spellStart"/>
      <w:r w:rsidRPr="009E1AF6">
        <w:rPr>
          <w:lang w:val="fr-FR"/>
        </w:rPr>
        <w:t>Ilievski</w:t>
      </w:r>
      <w:proofErr w:type="spellEnd"/>
      <w:r w:rsidRPr="009E1AF6">
        <w:rPr>
          <w:lang w:val="fr-FR"/>
        </w:rPr>
        <w:t>,</w:t>
      </w:r>
      <w:r w:rsidRPr="009E1AF6">
        <w:rPr>
          <w:i/>
          <w:lang w:val="fr-FR"/>
        </w:rPr>
        <w:t xml:space="preserve"> juges</w:t>
      </w:r>
      <w:proofErr w:type="gramStart"/>
      <w:r w:rsidRPr="009E1AF6">
        <w:rPr>
          <w:i/>
          <w:lang w:val="fr-FR"/>
        </w:rPr>
        <w:t>,</w:t>
      </w:r>
      <w:proofErr w:type="gramEnd"/>
      <w:r w:rsidRPr="009E1AF6">
        <w:rPr>
          <w:i/>
          <w:lang w:val="fr-FR"/>
        </w:rPr>
        <w:br/>
      </w:r>
      <w:r w:rsidRPr="009E1AF6">
        <w:rPr>
          <w:lang w:val="fr-FR"/>
        </w:rPr>
        <w:t xml:space="preserve">et de Renata </w:t>
      </w:r>
      <w:proofErr w:type="spellStart"/>
      <w:r w:rsidRPr="009E1AF6">
        <w:rPr>
          <w:lang w:val="fr-FR"/>
        </w:rPr>
        <w:t>Degener</w:t>
      </w:r>
      <w:proofErr w:type="spellEnd"/>
      <w:r w:rsidRPr="009E1AF6">
        <w:rPr>
          <w:lang w:val="fr-FR"/>
        </w:rPr>
        <w:t xml:space="preserve">, </w:t>
      </w:r>
      <w:r w:rsidRPr="009E1AF6">
        <w:rPr>
          <w:i/>
          <w:lang w:val="fr-FR"/>
        </w:rPr>
        <w:t>greffière adjointe de section</w:t>
      </w:r>
      <w:r w:rsidRPr="009E1AF6">
        <w:rPr>
          <w:lang w:val="fr-FR"/>
        </w:rPr>
        <w:t>,</w:t>
      </w:r>
    </w:p>
    <w:p w:rsidR="00B96D41" w:rsidRPr="009E1AF6" w:rsidRDefault="00B96D41" w:rsidP="009E1AF6">
      <w:pPr>
        <w:pStyle w:val="ECHRPara"/>
        <w:rPr>
          <w:lang w:val="fr-FR"/>
        </w:rPr>
      </w:pPr>
      <w:r w:rsidRPr="009E1AF6">
        <w:rPr>
          <w:lang w:val="fr-FR"/>
        </w:rPr>
        <w:t>Vu la requête susmentionnée introduite le 25 mars 2010,</w:t>
      </w:r>
    </w:p>
    <w:p w:rsidR="00B96D41" w:rsidRPr="009E1AF6" w:rsidRDefault="00B96D41" w:rsidP="009E1AF6">
      <w:pPr>
        <w:pStyle w:val="ECHRPara"/>
        <w:rPr>
          <w:lang w:val="fr-FR"/>
        </w:rPr>
      </w:pPr>
      <w:r w:rsidRPr="009E1AF6">
        <w:rPr>
          <w:lang w:val="fr-FR"/>
        </w:rPr>
        <w:t>Après en avoir délibéré, rend la décision suivante :</w:t>
      </w:r>
    </w:p>
    <w:p w:rsidR="00B96D41" w:rsidRPr="009E1AF6" w:rsidRDefault="00B96D41" w:rsidP="009E1AF6">
      <w:pPr>
        <w:pStyle w:val="ECHRTitle1"/>
        <w:rPr>
          <w:lang w:val="fr-FR"/>
        </w:rPr>
      </w:pPr>
      <w:r w:rsidRPr="009E1AF6">
        <w:rPr>
          <w:lang w:val="fr-FR"/>
        </w:rPr>
        <w:t>EN FAIT</w:t>
      </w:r>
    </w:p>
    <w:p w:rsidR="00B96D41" w:rsidRPr="009E1AF6" w:rsidRDefault="00B96D41" w:rsidP="009E1AF6">
      <w:pPr>
        <w:pStyle w:val="ECHRPara"/>
        <w:rPr>
          <w:lang w:val="fr-FR"/>
        </w:rPr>
      </w:pPr>
      <w:r w:rsidRPr="009E1AF6">
        <w:rPr>
          <w:lang w:val="fr-FR"/>
        </w:rPr>
        <w:t xml:space="preserve">1.  Le requérant, M. Stefano Bosco, est un ressortissant italien né en 1963 et résidant à Piano di </w:t>
      </w:r>
      <w:proofErr w:type="spellStart"/>
      <w:r w:rsidRPr="009E1AF6">
        <w:rPr>
          <w:lang w:val="fr-FR"/>
        </w:rPr>
        <w:t>Follo</w:t>
      </w:r>
      <w:proofErr w:type="spellEnd"/>
      <w:r w:rsidRPr="009E1AF6">
        <w:rPr>
          <w:lang w:val="fr-FR"/>
        </w:rPr>
        <w:t xml:space="preserve"> (SP). Il a été représenté devant la Cour par M</w:t>
      </w:r>
      <w:r w:rsidRPr="009E1AF6">
        <w:rPr>
          <w:vertAlign w:val="superscript"/>
          <w:lang w:val="fr-FR"/>
        </w:rPr>
        <w:t>e</w:t>
      </w:r>
      <w:r w:rsidRPr="009E1AF6">
        <w:rPr>
          <w:lang w:val="fr-FR"/>
        </w:rPr>
        <w:t> C. </w:t>
      </w:r>
      <w:proofErr w:type="spellStart"/>
      <w:r w:rsidRPr="009E1AF6">
        <w:rPr>
          <w:lang w:val="fr-FR"/>
        </w:rPr>
        <w:t>Defilippi</w:t>
      </w:r>
      <w:proofErr w:type="spellEnd"/>
      <w:r w:rsidRPr="009E1AF6">
        <w:rPr>
          <w:lang w:val="fr-FR"/>
        </w:rPr>
        <w:t xml:space="preserve">, avocat à La </w:t>
      </w:r>
      <w:proofErr w:type="spellStart"/>
      <w:r w:rsidRPr="009E1AF6">
        <w:rPr>
          <w:lang w:val="fr-FR"/>
        </w:rPr>
        <w:t>Spezia</w:t>
      </w:r>
      <w:proofErr w:type="spellEnd"/>
      <w:r w:rsidRPr="009E1AF6">
        <w:rPr>
          <w:lang w:val="fr-FR"/>
        </w:rPr>
        <w:t>.</w:t>
      </w:r>
    </w:p>
    <w:p w:rsidR="00B96D41" w:rsidRPr="009E1AF6" w:rsidRDefault="00B96D41" w:rsidP="009E1AF6">
      <w:pPr>
        <w:pStyle w:val="ECHRHeading2"/>
        <w:rPr>
          <w:lang w:val="fr-FR"/>
        </w:rPr>
      </w:pPr>
      <w:r w:rsidRPr="009E1AF6">
        <w:rPr>
          <w:lang w:val="fr-FR"/>
        </w:rPr>
        <w:t>A.</w:t>
      </w:r>
      <w:proofErr w:type="gramStart"/>
      <w:r w:rsidRPr="009E1AF6">
        <w:rPr>
          <w:lang w:val="fr-FR"/>
        </w:rPr>
        <w:t>  Les</w:t>
      </w:r>
      <w:proofErr w:type="gramEnd"/>
      <w:r w:rsidRPr="009E1AF6">
        <w:rPr>
          <w:lang w:val="fr-FR"/>
        </w:rPr>
        <w:t xml:space="preserve"> circonstances de l</w:t>
      </w:r>
      <w:r w:rsidR="009E1AF6" w:rsidRPr="009E1AF6">
        <w:rPr>
          <w:lang w:val="fr-FR"/>
        </w:rPr>
        <w:t>’</w:t>
      </w:r>
      <w:r w:rsidRPr="009E1AF6">
        <w:rPr>
          <w:lang w:val="fr-FR"/>
        </w:rPr>
        <w:t>espèce</w:t>
      </w:r>
    </w:p>
    <w:p w:rsidR="00B96D41" w:rsidRPr="009E1AF6" w:rsidRDefault="00B96D41" w:rsidP="009E1AF6">
      <w:pPr>
        <w:pStyle w:val="ECHRPara"/>
        <w:rPr>
          <w:lang w:val="fr-FR"/>
        </w:rPr>
      </w:pPr>
      <w:r w:rsidRPr="009E1AF6">
        <w:rPr>
          <w:lang w:val="fr-FR"/>
        </w:rPr>
        <w:t>2.  Les faits de la cause, tels qu</w:t>
      </w:r>
      <w:r w:rsidR="009E1AF6" w:rsidRPr="009E1AF6">
        <w:rPr>
          <w:lang w:val="fr-FR"/>
        </w:rPr>
        <w:t>’</w:t>
      </w:r>
      <w:r w:rsidRPr="009E1AF6">
        <w:rPr>
          <w:lang w:val="fr-FR"/>
        </w:rPr>
        <w:t>ils ont été exposés par les parties, peuvent se résumer comme suit.</w:t>
      </w:r>
    </w:p>
    <w:p w:rsidR="00B96D41" w:rsidRPr="009E1AF6" w:rsidRDefault="00B96D41" w:rsidP="009E1AF6">
      <w:pPr>
        <w:pStyle w:val="ECHRPara"/>
        <w:rPr>
          <w:lang w:val="fr-FR"/>
        </w:rPr>
      </w:pPr>
      <w:r w:rsidRPr="009E1AF6">
        <w:rPr>
          <w:lang w:val="fr-FR"/>
        </w:rPr>
        <w:t>3.  À une date non précisée, le requérant introduisit une demande devant le juge d</w:t>
      </w:r>
      <w:r w:rsidR="009E1AF6" w:rsidRPr="009E1AF6">
        <w:rPr>
          <w:lang w:val="fr-FR"/>
        </w:rPr>
        <w:t>’</w:t>
      </w:r>
      <w:r w:rsidRPr="009E1AF6">
        <w:rPr>
          <w:lang w:val="fr-FR"/>
        </w:rPr>
        <w:t>instance (</w:t>
      </w:r>
      <w:proofErr w:type="spellStart"/>
      <w:r w:rsidRPr="009E1AF6">
        <w:rPr>
          <w:i/>
          <w:lang w:val="fr-FR"/>
        </w:rPr>
        <w:t>pretore</w:t>
      </w:r>
      <w:proofErr w:type="spellEnd"/>
      <w:r w:rsidRPr="009E1AF6">
        <w:rPr>
          <w:lang w:val="fr-FR"/>
        </w:rPr>
        <w:t xml:space="preserve">) de La </w:t>
      </w:r>
      <w:proofErr w:type="spellStart"/>
      <w:r w:rsidRPr="009E1AF6">
        <w:rPr>
          <w:lang w:val="fr-FR"/>
        </w:rPr>
        <w:t>Spezia</w:t>
      </w:r>
      <w:proofErr w:type="spellEnd"/>
      <w:r w:rsidRPr="009E1AF6">
        <w:rPr>
          <w:lang w:val="fr-FR"/>
        </w:rPr>
        <w:t xml:space="preserve"> afin d</w:t>
      </w:r>
      <w:r w:rsidR="009E1AF6" w:rsidRPr="009E1AF6">
        <w:rPr>
          <w:lang w:val="fr-FR"/>
        </w:rPr>
        <w:t>’</w:t>
      </w:r>
      <w:r w:rsidRPr="009E1AF6">
        <w:rPr>
          <w:lang w:val="fr-FR"/>
        </w:rPr>
        <w:t>obtenir une injonction de paiement (</w:t>
      </w:r>
      <w:proofErr w:type="spellStart"/>
      <w:r w:rsidRPr="009E1AF6">
        <w:rPr>
          <w:i/>
          <w:lang w:val="fr-FR"/>
        </w:rPr>
        <w:t>decreto</w:t>
      </w:r>
      <w:proofErr w:type="spellEnd"/>
      <w:r w:rsidRPr="009E1AF6">
        <w:rPr>
          <w:i/>
          <w:lang w:val="fr-FR"/>
        </w:rPr>
        <w:t xml:space="preserve"> </w:t>
      </w:r>
      <w:proofErr w:type="spellStart"/>
      <w:r w:rsidRPr="009E1AF6">
        <w:rPr>
          <w:i/>
          <w:lang w:val="fr-FR"/>
        </w:rPr>
        <w:t>ingiuntivo</w:t>
      </w:r>
      <w:proofErr w:type="spellEnd"/>
      <w:r w:rsidRPr="009E1AF6">
        <w:rPr>
          <w:lang w:val="fr-FR"/>
        </w:rPr>
        <w:t>) pour la somme de 34 609 008 lires italiennes (ITL), créance que sa société individuelle réclamait à la société « CIAS group » pour des travaux effectués en 1994.</w:t>
      </w:r>
    </w:p>
    <w:p w:rsidR="00B96D41" w:rsidRPr="009E1AF6" w:rsidRDefault="00B96D41" w:rsidP="009E1AF6">
      <w:pPr>
        <w:pStyle w:val="ECHRPara"/>
        <w:rPr>
          <w:lang w:val="fr-FR"/>
        </w:rPr>
      </w:pPr>
      <w:r w:rsidRPr="009E1AF6">
        <w:rPr>
          <w:lang w:val="fr-FR"/>
        </w:rPr>
        <w:t xml:space="preserve">4.  À une date non précisée de 1995, le </w:t>
      </w:r>
      <w:proofErr w:type="spellStart"/>
      <w:r w:rsidRPr="009E1AF6">
        <w:rPr>
          <w:i/>
          <w:lang w:val="fr-FR"/>
        </w:rPr>
        <w:t>pretore</w:t>
      </w:r>
      <w:proofErr w:type="spellEnd"/>
      <w:r w:rsidRPr="009E1AF6">
        <w:rPr>
          <w:i/>
          <w:lang w:val="fr-FR"/>
        </w:rPr>
        <w:t xml:space="preserve"> </w:t>
      </w:r>
      <w:r w:rsidRPr="009E1AF6">
        <w:rPr>
          <w:lang w:val="fr-FR"/>
        </w:rPr>
        <w:t xml:space="preserve">de La </w:t>
      </w:r>
      <w:proofErr w:type="spellStart"/>
      <w:r w:rsidRPr="009E1AF6">
        <w:rPr>
          <w:lang w:val="fr-FR"/>
        </w:rPr>
        <w:t>Spezia</w:t>
      </w:r>
      <w:proofErr w:type="spellEnd"/>
      <w:r w:rsidRPr="009E1AF6">
        <w:rPr>
          <w:i/>
          <w:lang w:val="fr-FR"/>
        </w:rPr>
        <w:t xml:space="preserve"> </w:t>
      </w:r>
      <w:r w:rsidRPr="009E1AF6">
        <w:rPr>
          <w:lang w:val="fr-FR"/>
        </w:rPr>
        <w:t>émit une injonction de paiement (n</w:t>
      </w:r>
      <w:r w:rsidRPr="009E1AF6">
        <w:rPr>
          <w:vertAlign w:val="superscript"/>
          <w:lang w:val="fr-FR"/>
        </w:rPr>
        <w:t>o</w:t>
      </w:r>
      <w:r w:rsidRPr="009E1AF6">
        <w:rPr>
          <w:lang w:val="fr-FR"/>
        </w:rPr>
        <w:t xml:space="preserve"> 482/1995) contre « CIAS group ». Cette dernière s</w:t>
      </w:r>
      <w:r w:rsidR="009E1AF6" w:rsidRPr="009E1AF6">
        <w:rPr>
          <w:lang w:val="fr-FR"/>
        </w:rPr>
        <w:t>’</w:t>
      </w:r>
      <w:r w:rsidRPr="009E1AF6">
        <w:rPr>
          <w:lang w:val="fr-FR"/>
        </w:rPr>
        <w:t>opposa à l</w:t>
      </w:r>
      <w:r w:rsidR="009E1AF6" w:rsidRPr="009E1AF6">
        <w:rPr>
          <w:lang w:val="fr-FR"/>
        </w:rPr>
        <w:t>’</w:t>
      </w:r>
      <w:r w:rsidRPr="009E1AF6">
        <w:rPr>
          <w:lang w:val="fr-FR"/>
        </w:rPr>
        <w:t xml:space="preserve">injonction devant le tribunal de première instance de La </w:t>
      </w:r>
      <w:proofErr w:type="spellStart"/>
      <w:r w:rsidRPr="009E1AF6">
        <w:rPr>
          <w:lang w:val="fr-FR"/>
        </w:rPr>
        <w:t>Spezia</w:t>
      </w:r>
      <w:proofErr w:type="spellEnd"/>
      <w:r w:rsidRPr="009E1AF6">
        <w:rPr>
          <w:lang w:val="fr-FR"/>
        </w:rPr>
        <w:t>.</w:t>
      </w:r>
    </w:p>
    <w:p w:rsidR="00B96D41" w:rsidRPr="009E1AF6" w:rsidRDefault="00B96D41" w:rsidP="009E1AF6">
      <w:pPr>
        <w:pStyle w:val="ECHRPara"/>
        <w:rPr>
          <w:lang w:val="fr-FR"/>
        </w:rPr>
      </w:pPr>
      <w:r w:rsidRPr="009E1AF6">
        <w:rPr>
          <w:lang w:val="fr-FR"/>
        </w:rPr>
        <w:lastRenderedPageBreak/>
        <w:t>5.  Par arrêt n</w:t>
      </w:r>
      <w:r w:rsidRPr="009E1AF6">
        <w:rPr>
          <w:vertAlign w:val="superscript"/>
          <w:lang w:val="fr-FR"/>
        </w:rPr>
        <w:t>o</w:t>
      </w:r>
      <w:r w:rsidRPr="009E1AF6">
        <w:rPr>
          <w:lang w:val="fr-FR"/>
        </w:rPr>
        <w:t xml:space="preserve"> 2355/2000 (dont la date n</w:t>
      </w:r>
      <w:r w:rsidR="009E1AF6" w:rsidRPr="009E1AF6">
        <w:rPr>
          <w:lang w:val="fr-FR"/>
        </w:rPr>
        <w:t>’</w:t>
      </w:r>
      <w:r w:rsidRPr="009E1AF6">
        <w:rPr>
          <w:lang w:val="fr-FR"/>
        </w:rPr>
        <w:t xml:space="preserve">a pas été précisée), le tribunal de La </w:t>
      </w:r>
      <w:proofErr w:type="spellStart"/>
      <w:r w:rsidRPr="009E1AF6">
        <w:rPr>
          <w:lang w:val="fr-FR"/>
        </w:rPr>
        <w:t>Spezia</w:t>
      </w:r>
      <w:proofErr w:type="spellEnd"/>
      <w:r w:rsidRPr="009E1AF6">
        <w:rPr>
          <w:lang w:val="fr-FR"/>
        </w:rPr>
        <w:t xml:space="preserve"> confirma l</w:t>
      </w:r>
      <w:r w:rsidR="009E1AF6" w:rsidRPr="009E1AF6">
        <w:rPr>
          <w:lang w:val="fr-FR"/>
        </w:rPr>
        <w:t>’</w:t>
      </w:r>
      <w:r w:rsidRPr="009E1AF6">
        <w:rPr>
          <w:lang w:val="fr-FR"/>
        </w:rPr>
        <w:t>injonction de paiement.</w:t>
      </w:r>
    </w:p>
    <w:p w:rsidR="00B96D41" w:rsidRPr="009E1AF6" w:rsidRDefault="00B96D41" w:rsidP="009E1AF6">
      <w:pPr>
        <w:pStyle w:val="ECHRPara"/>
        <w:rPr>
          <w:lang w:val="fr-FR"/>
        </w:rPr>
      </w:pPr>
      <w:r w:rsidRPr="009E1AF6">
        <w:rPr>
          <w:lang w:val="fr-FR"/>
        </w:rPr>
        <w:t>6.  Le 28 février 2003, le requérant devait encore recevoir le versement d</w:t>
      </w:r>
      <w:r w:rsidR="009E1AF6" w:rsidRPr="009E1AF6">
        <w:rPr>
          <w:lang w:val="fr-FR"/>
        </w:rPr>
        <w:t>’</w:t>
      </w:r>
      <w:r w:rsidRPr="009E1AF6">
        <w:rPr>
          <w:lang w:val="fr-FR"/>
        </w:rPr>
        <w:t xml:space="preserve">une partie de son crédit pour un montant de 18 563,13 </w:t>
      </w:r>
      <w:r w:rsidR="008E1AFB" w:rsidRPr="009E1AF6">
        <w:rPr>
          <w:lang w:val="fr-FR"/>
        </w:rPr>
        <w:t>euros (</w:t>
      </w:r>
      <w:r w:rsidRPr="009E1AF6">
        <w:rPr>
          <w:lang w:val="fr-FR"/>
        </w:rPr>
        <w:t>EUR</w:t>
      </w:r>
      <w:r w:rsidR="008E1AFB" w:rsidRPr="009E1AF6">
        <w:rPr>
          <w:lang w:val="fr-FR"/>
        </w:rPr>
        <w:t>)</w:t>
      </w:r>
      <w:r w:rsidRPr="009E1AF6">
        <w:rPr>
          <w:lang w:val="fr-FR"/>
        </w:rPr>
        <w:t>.</w:t>
      </w:r>
    </w:p>
    <w:p w:rsidR="00B96D41" w:rsidRPr="009E1AF6" w:rsidRDefault="00B96D41" w:rsidP="009E1AF6">
      <w:pPr>
        <w:pStyle w:val="ECHRPara"/>
        <w:rPr>
          <w:lang w:val="fr-FR"/>
        </w:rPr>
      </w:pPr>
      <w:r w:rsidRPr="009E1AF6">
        <w:rPr>
          <w:lang w:val="fr-FR"/>
        </w:rPr>
        <w:t>7.  Le 16 septembre 2003, le tribunal de Parme admit la société débitrice à la procédure de concordat préventif (</w:t>
      </w:r>
      <w:proofErr w:type="spellStart"/>
      <w:r w:rsidRPr="009E1AF6">
        <w:rPr>
          <w:i/>
          <w:lang w:val="fr-FR"/>
        </w:rPr>
        <w:t>concordato</w:t>
      </w:r>
      <w:proofErr w:type="spellEnd"/>
      <w:r w:rsidRPr="009E1AF6">
        <w:rPr>
          <w:i/>
          <w:lang w:val="fr-FR"/>
        </w:rPr>
        <w:t xml:space="preserve"> </w:t>
      </w:r>
      <w:proofErr w:type="spellStart"/>
      <w:r w:rsidRPr="009E1AF6">
        <w:rPr>
          <w:i/>
          <w:lang w:val="fr-FR"/>
        </w:rPr>
        <w:t>preventivo</w:t>
      </w:r>
      <w:proofErr w:type="spellEnd"/>
      <w:r w:rsidRPr="009E1AF6">
        <w:rPr>
          <w:lang w:val="fr-FR"/>
        </w:rPr>
        <w:t>) et nomma au même temps le juge délégué et le commissaire superviseur. Ces derniers fixèrent la convocation des créditeurs concernés pour le 15 octobre 2003, afin d</w:t>
      </w:r>
      <w:r w:rsidR="009E1AF6" w:rsidRPr="009E1AF6">
        <w:rPr>
          <w:lang w:val="fr-FR"/>
        </w:rPr>
        <w:t>’</w:t>
      </w:r>
      <w:r w:rsidRPr="009E1AF6">
        <w:rPr>
          <w:lang w:val="fr-FR"/>
        </w:rPr>
        <w:t>obtenir leur approbation du concordat.</w:t>
      </w:r>
    </w:p>
    <w:p w:rsidR="00B96D41" w:rsidRPr="009E1AF6" w:rsidRDefault="00B96D41" w:rsidP="009E1AF6">
      <w:pPr>
        <w:pStyle w:val="ECHRPara"/>
        <w:rPr>
          <w:lang w:val="fr-FR"/>
        </w:rPr>
      </w:pPr>
      <w:r w:rsidRPr="009E1AF6">
        <w:rPr>
          <w:lang w:val="fr-FR"/>
        </w:rPr>
        <w:t>8.  Le 18 décembre 2003, le tribunal émit un arrêt d</w:t>
      </w:r>
      <w:r w:rsidR="009E1AF6" w:rsidRPr="009E1AF6">
        <w:rPr>
          <w:lang w:val="fr-FR"/>
        </w:rPr>
        <w:t>’</w:t>
      </w:r>
      <w:r w:rsidRPr="009E1AF6">
        <w:rPr>
          <w:lang w:val="fr-FR"/>
        </w:rPr>
        <w:t>homologation du concordat préventif et nomma un liquidateur judiciaire.</w:t>
      </w:r>
    </w:p>
    <w:p w:rsidR="00B96D41" w:rsidRPr="009E1AF6" w:rsidRDefault="00B96D41" w:rsidP="009E1AF6">
      <w:pPr>
        <w:pStyle w:val="ECHRPara"/>
        <w:rPr>
          <w:lang w:val="fr-FR"/>
        </w:rPr>
      </w:pPr>
      <w:r w:rsidRPr="009E1AF6">
        <w:rPr>
          <w:lang w:val="fr-FR"/>
        </w:rPr>
        <w:t>9.  Le 2 février 2006, le requérant introduisit un recours devant la cour d</w:t>
      </w:r>
      <w:r w:rsidR="009E1AF6" w:rsidRPr="009E1AF6">
        <w:rPr>
          <w:lang w:val="fr-FR"/>
        </w:rPr>
        <w:t>’</w:t>
      </w:r>
      <w:r w:rsidRPr="009E1AF6">
        <w:rPr>
          <w:lang w:val="fr-FR"/>
        </w:rPr>
        <w:t>appel “Pinto” de Bologne, se plaignant de la durée globale de la procédure. À ses yeux, la durée de la procédure devait se calculer en considérant comme un seul « procès », aux termes de l</w:t>
      </w:r>
      <w:r w:rsidR="009E1AF6" w:rsidRPr="009E1AF6">
        <w:rPr>
          <w:lang w:val="fr-FR"/>
        </w:rPr>
        <w:t>’</w:t>
      </w:r>
      <w:r w:rsidRPr="009E1AF6">
        <w:rPr>
          <w:lang w:val="fr-FR"/>
        </w:rPr>
        <w:t>article 6 § 1 de la Convention, la procédure d</w:t>
      </w:r>
      <w:r w:rsidR="009E1AF6" w:rsidRPr="009E1AF6">
        <w:rPr>
          <w:lang w:val="fr-FR"/>
        </w:rPr>
        <w:t>’</w:t>
      </w:r>
      <w:r w:rsidRPr="009E1AF6">
        <w:rPr>
          <w:lang w:val="fr-FR"/>
        </w:rPr>
        <w:t>injonction de paiement et celle de concordat préventif.</w:t>
      </w:r>
    </w:p>
    <w:p w:rsidR="00B96D41" w:rsidRPr="009E1AF6" w:rsidRDefault="00B96D41" w:rsidP="009E1AF6">
      <w:pPr>
        <w:pStyle w:val="ECHRPara"/>
        <w:rPr>
          <w:lang w:val="fr-FR"/>
        </w:rPr>
      </w:pPr>
      <w:r w:rsidRPr="009E1AF6">
        <w:rPr>
          <w:lang w:val="fr-FR"/>
        </w:rPr>
        <w:t>10.  Dans sa décision du 3 octobre 2006, déposée le 29 novembre 2006, la cour d</w:t>
      </w:r>
      <w:r w:rsidR="009E1AF6" w:rsidRPr="009E1AF6">
        <w:rPr>
          <w:lang w:val="fr-FR"/>
        </w:rPr>
        <w:t>’</w:t>
      </w:r>
      <w:r w:rsidRPr="009E1AF6">
        <w:rPr>
          <w:lang w:val="fr-FR"/>
        </w:rPr>
        <w:t>appel de Bologne rejeta la demande du requérant. Elle considéra que la procédure d</w:t>
      </w:r>
      <w:r w:rsidR="009E1AF6" w:rsidRPr="009E1AF6">
        <w:rPr>
          <w:lang w:val="fr-FR"/>
        </w:rPr>
        <w:t>’</w:t>
      </w:r>
      <w:r w:rsidRPr="009E1AF6">
        <w:rPr>
          <w:lang w:val="fr-FR"/>
        </w:rPr>
        <w:t>injonction était terminée en 2000, l</w:t>
      </w:r>
      <w:r w:rsidR="009E1AF6" w:rsidRPr="009E1AF6">
        <w:rPr>
          <w:lang w:val="fr-FR"/>
        </w:rPr>
        <w:t>’</w:t>
      </w:r>
      <w:r w:rsidRPr="009E1AF6">
        <w:rPr>
          <w:lang w:val="fr-FR"/>
        </w:rPr>
        <w:t>arrêt n</w:t>
      </w:r>
      <w:r w:rsidRPr="009E1AF6">
        <w:rPr>
          <w:vertAlign w:val="superscript"/>
          <w:lang w:val="fr-FR"/>
        </w:rPr>
        <w:t>o</w:t>
      </w:r>
      <w:r w:rsidRPr="009E1AF6">
        <w:rPr>
          <w:lang w:val="fr-FR"/>
        </w:rPr>
        <w:t xml:space="preserve"> 2355/2000 du tribunal de La </w:t>
      </w:r>
      <w:proofErr w:type="spellStart"/>
      <w:r w:rsidRPr="009E1AF6">
        <w:rPr>
          <w:lang w:val="fr-FR"/>
        </w:rPr>
        <w:t>Spezia</w:t>
      </w:r>
      <w:proofErr w:type="spellEnd"/>
      <w:r w:rsidRPr="009E1AF6">
        <w:rPr>
          <w:lang w:val="fr-FR"/>
        </w:rPr>
        <w:t xml:space="preserve"> étant devenu définitif bien avant le délai de six mois prévu par la loi « Pinto » (article 4 de la loi n</w:t>
      </w:r>
      <w:r w:rsidRPr="009E1AF6">
        <w:rPr>
          <w:vertAlign w:val="superscript"/>
          <w:lang w:val="fr-FR"/>
        </w:rPr>
        <w:t>o</w:t>
      </w:r>
      <w:r w:rsidRPr="009E1AF6">
        <w:rPr>
          <w:lang w:val="fr-FR"/>
        </w:rPr>
        <w:t xml:space="preserve"> 89/2001). Cette partie de la requête devait dès lors se considérer comme tardive.</w:t>
      </w:r>
    </w:p>
    <w:p w:rsidR="00B96D41" w:rsidRPr="009E1AF6" w:rsidRDefault="00B96D41" w:rsidP="009E1AF6">
      <w:pPr>
        <w:pStyle w:val="ECHRPara"/>
        <w:rPr>
          <w:lang w:val="fr-FR"/>
        </w:rPr>
      </w:pPr>
      <w:r w:rsidRPr="009E1AF6">
        <w:rPr>
          <w:lang w:val="fr-FR"/>
        </w:rPr>
        <w:t>11.  En relation au concordat préventif, la cour d</w:t>
      </w:r>
      <w:r w:rsidR="009E1AF6" w:rsidRPr="009E1AF6">
        <w:rPr>
          <w:lang w:val="fr-FR"/>
        </w:rPr>
        <w:t>’</w:t>
      </w:r>
      <w:r w:rsidRPr="009E1AF6">
        <w:rPr>
          <w:lang w:val="fr-FR"/>
        </w:rPr>
        <w:t>appel releva que cette procédure avait été ouverte le 16 septembre 2003 et l</w:t>
      </w:r>
      <w:r w:rsidR="009E1AF6" w:rsidRPr="009E1AF6">
        <w:rPr>
          <w:lang w:val="fr-FR"/>
        </w:rPr>
        <w:t>’</w:t>
      </w:r>
      <w:r w:rsidRPr="009E1AF6">
        <w:rPr>
          <w:lang w:val="fr-FR"/>
        </w:rPr>
        <w:t>arrêt d</w:t>
      </w:r>
      <w:r w:rsidR="009E1AF6" w:rsidRPr="009E1AF6">
        <w:rPr>
          <w:lang w:val="fr-FR"/>
        </w:rPr>
        <w:t>’</w:t>
      </w:r>
      <w:r w:rsidRPr="009E1AF6">
        <w:rPr>
          <w:lang w:val="fr-FR"/>
        </w:rPr>
        <w:t>homologation avait été rendu le 18 décembre 2003. En tenant compte de la complexité de l</w:t>
      </w:r>
      <w:r w:rsidR="009E1AF6" w:rsidRPr="009E1AF6">
        <w:rPr>
          <w:lang w:val="fr-FR"/>
        </w:rPr>
        <w:t>’</w:t>
      </w:r>
      <w:r w:rsidRPr="009E1AF6">
        <w:rPr>
          <w:lang w:val="fr-FR"/>
        </w:rPr>
        <w:t>affaire, en particulier de l</w:t>
      </w:r>
      <w:r w:rsidR="009E1AF6" w:rsidRPr="009E1AF6">
        <w:rPr>
          <w:lang w:val="fr-FR"/>
        </w:rPr>
        <w:t>’</w:t>
      </w:r>
      <w:r w:rsidRPr="009E1AF6">
        <w:rPr>
          <w:lang w:val="fr-FR"/>
        </w:rPr>
        <w:t>exigence d</w:t>
      </w:r>
      <w:r w:rsidR="009E1AF6" w:rsidRPr="009E1AF6">
        <w:rPr>
          <w:lang w:val="fr-FR"/>
        </w:rPr>
        <w:t>’</w:t>
      </w:r>
      <w:r w:rsidRPr="009E1AF6">
        <w:rPr>
          <w:lang w:val="fr-FR"/>
        </w:rPr>
        <w:t>évaluer la situation patrimoniale de la société débitrice, elle jugea que, à la date de sa décision, le temps écoulé n</w:t>
      </w:r>
      <w:r w:rsidR="009E1AF6" w:rsidRPr="009E1AF6">
        <w:rPr>
          <w:lang w:val="fr-FR"/>
        </w:rPr>
        <w:t>’</w:t>
      </w:r>
      <w:r w:rsidRPr="009E1AF6">
        <w:rPr>
          <w:lang w:val="fr-FR"/>
        </w:rPr>
        <w:t>avait pas excédé le délai raisonnable.</w:t>
      </w:r>
    </w:p>
    <w:p w:rsidR="00B96D41" w:rsidRPr="009E1AF6" w:rsidRDefault="00B96D41" w:rsidP="009E1AF6">
      <w:pPr>
        <w:pStyle w:val="ECHRPara"/>
        <w:rPr>
          <w:lang w:val="fr-FR"/>
        </w:rPr>
      </w:pPr>
      <w:r w:rsidRPr="009E1AF6">
        <w:rPr>
          <w:lang w:val="fr-FR"/>
        </w:rPr>
        <w:t xml:space="preserve">12.  Le 29 novembre 2007, le requérant se </w:t>
      </w:r>
      <w:proofErr w:type="spellStart"/>
      <w:r w:rsidRPr="009E1AF6">
        <w:rPr>
          <w:lang w:val="fr-FR"/>
        </w:rPr>
        <w:t>pourvut</w:t>
      </w:r>
      <w:proofErr w:type="spellEnd"/>
      <w:r w:rsidRPr="009E1AF6">
        <w:rPr>
          <w:lang w:val="fr-FR"/>
        </w:rPr>
        <w:t xml:space="preserve"> en cassation soulevant un seul moyen. Il demanda à la Cour de cassation d</w:t>
      </w:r>
      <w:r w:rsidR="009E1AF6" w:rsidRPr="009E1AF6">
        <w:rPr>
          <w:lang w:val="fr-FR"/>
        </w:rPr>
        <w:t>’</w:t>
      </w:r>
      <w:r w:rsidRPr="009E1AF6">
        <w:rPr>
          <w:lang w:val="fr-FR"/>
        </w:rPr>
        <w:t>indiquer si le juge national, appelé à statuer sur la violation du droit à un procès dans un délai raisonnable, devait considérer la procédure au fond et celle d</w:t>
      </w:r>
      <w:r w:rsidR="009E1AF6" w:rsidRPr="009E1AF6">
        <w:rPr>
          <w:lang w:val="fr-FR"/>
        </w:rPr>
        <w:t>’</w:t>
      </w:r>
      <w:r w:rsidRPr="009E1AF6">
        <w:rPr>
          <w:lang w:val="fr-FR"/>
        </w:rPr>
        <w:t xml:space="preserve">exécution comme étant séparées ou devait au contraire adopter une lecture globale en considérant comme </w:t>
      </w:r>
      <w:r w:rsidRPr="009E1AF6">
        <w:rPr>
          <w:i/>
          <w:lang w:val="fr-FR"/>
        </w:rPr>
        <w:t>dies ad quem</w:t>
      </w:r>
      <w:r w:rsidRPr="009E1AF6">
        <w:rPr>
          <w:lang w:val="fr-FR"/>
        </w:rPr>
        <w:t xml:space="preserve"> le moment où le droit actionné a trouvé sa réalisation effective.</w:t>
      </w:r>
    </w:p>
    <w:p w:rsidR="00B96D41" w:rsidRPr="009E1AF6" w:rsidRDefault="00B96D41" w:rsidP="009E1AF6">
      <w:pPr>
        <w:pStyle w:val="ECHRPara"/>
        <w:rPr>
          <w:lang w:val="fr-FR"/>
        </w:rPr>
      </w:pPr>
      <w:r w:rsidRPr="009E1AF6">
        <w:rPr>
          <w:lang w:val="fr-FR"/>
        </w:rPr>
        <w:t>13.  Le 29 septembre 2009, la Cour de cassation rejeta par ordonnance le pourvoi du requérant. Elle jugea que la procédure de concordat préventif et celle relative à l</w:t>
      </w:r>
      <w:r w:rsidR="009E1AF6" w:rsidRPr="009E1AF6">
        <w:rPr>
          <w:lang w:val="fr-FR"/>
        </w:rPr>
        <w:t>’</w:t>
      </w:r>
      <w:r w:rsidRPr="009E1AF6">
        <w:rPr>
          <w:lang w:val="fr-FR"/>
        </w:rPr>
        <w:t>injonction de paiement devaient être considérées comme autonomes.</w:t>
      </w:r>
    </w:p>
    <w:p w:rsidR="00B96D41" w:rsidRPr="009E1AF6" w:rsidRDefault="00B96D41" w:rsidP="009E1AF6">
      <w:pPr>
        <w:pStyle w:val="ECHRHeading2"/>
        <w:rPr>
          <w:lang w:val="fr-FR"/>
        </w:rPr>
      </w:pPr>
      <w:r w:rsidRPr="009E1AF6">
        <w:rPr>
          <w:lang w:val="fr-FR"/>
        </w:rPr>
        <w:lastRenderedPageBreak/>
        <w:t>B.</w:t>
      </w:r>
      <w:proofErr w:type="gramStart"/>
      <w:r w:rsidRPr="009E1AF6">
        <w:rPr>
          <w:lang w:val="fr-FR"/>
        </w:rPr>
        <w:t>  Le</w:t>
      </w:r>
      <w:proofErr w:type="gramEnd"/>
      <w:r w:rsidRPr="009E1AF6">
        <w:rPr>
          <w:lang w:val="fr-FR"/>
        </w:rPr>
        <w:t xml:space="preserve"> droit et la pratique internes pertinents</w:t>
      </w:r>
    </w:p>
    <w:p w:rsidR="00B96D41" w:rsidRPr="009E1AF6" w:rsidRDefault="00B96D41" w:rsidP="009E1AF6">
      <w:pPr>
        <w:pStyle w:val="ECHRPara"/>
        <w:rPr>
          <w:lang w:val="fr-FR"/>
        </w:rPr>
      </w:pPr>
      <w:r w:rsidRPr="009E1AF6">
        <w:rPr>
          <w:lang w:val="fr-FR"/>
        </w:rPr>
        <w:t>14.  Pour ce qui est du droit et de la pratique internes pertinents dans la présente affaire, la Cour renvoie à l</w:t>
      </w:r>
      <w:r w:rsidR="009E1AF6" w:rsidRPr="009E1AF6">
        <w:rPr>
          <w:lang w:val="fr-FR"/>
        </w:rPr>
        <w:t>’</w:t>
      </w:r>
      <w:r w:rsidRPr="009E1AF6">
        <w:rPr>
          <w:lang w:val="fr-FR"/>
        </w:rPr>
        <w:t xml:space="preserve">arrêt </w:t>
      </w:r>
      <w:proofErr w:type="spellStart"/>
      <w:r w:rsidRPr="009E1AF6">
        <w:rPr>
          <w:i/>
          <w:lang w:val="fr-FR"/>
        </w:rPr>
        <w:t>Bozza</w:t>
      </w:r>
      <w:proofErr w:type="spellEnd"/>
      <w:r w:rsidRPr="009E1AF6">
        <w:rPr>
          <w:i/>
          <w:lang w:val="fr-FR"/>
        </w:rPr>
        <w:t xml:space="preserve"> c. Italie</w:t>
      </w:r>
      <w:r w:rsidRPr="009E1AF6">
        <w:rPr>
          <w:lang w:val="fr-FR"/>
        </w:rPr>
        <w:t xml:space="preserve"> (n</w:t>
      </w:r>
      <w:r w:rsidRPr="009E1AF6">
        <w:rPr>
          <w:vertAlign w:val="superscript"/>
          <w:lang w:val="fr-FR"/>
        </w:rPr>
        <w:t>o</w:t>
      </w:r>
      <w:r w:rsidRPr="009E1AF6">
        <w:rPr>
          <w:lang w:val="fr-FR"/>
        </w:rPr>
        <w:t>17739/09, §§</w:t>
      </w:r>
      <w:r w:rsidR="00ED7587" w:rsidRPr="009E1AF6">
        <w:rPr>
          <w:lang w:val="fr-FR"/>
        </w:rPr>
        <w:t> </w:t>
      </w:r>
      <w:r w:rsidRPr="009E1AF6">
        <w:rPr>
          <w:lang w:val="fr-FR"/>
        </w:rPr>
        <w:t>17</w:t>
      </w:r>
      <w:r w:rsidR="00ED7587" w:rsidRPr="009E1AF6">
        <w:rPr>
          <w:lang w:val="fr-FR"/>
        </w:rPr>
        <w:noBreakHyphen/>
      </w:r>
      <w:r w:rsidRPr="009E1AF6">
        <w:rPr>
          <w:lang w:val="fr-FR"/>
        </w:rPr>
        <w:t>24, 29 août 2017).</w:t>
      </w:r>
    </w:p>
    <w:p w:rsidR="00B96D41" w:rsidRPr="009E1AF6" w:rsidRDefault="00B96D41" w:rsidP="009E1AF6">
      <w:pPr>
        <w:pStyle w:val="ECHRTitle1"/>
        <w:rPr>
          <w:lang w:val="fr-FR"/>
        </w:rPr>
      </w:pPr>
      <w:r w:rsidRPr="009E1AF6">
        <w:rPr>
          <w:lang w:val="fr-FR"/>
        </w:rPr>
        <w:t>GRIEFS</w:t>
      </w:r>
    </w:p>
    <w:p w:rsidR="00B96D41" w:rsidRPr="009E1AF6" w:rsidRDefault="00B96D41" w:rsidP="009E1AF6">
      <w:pPr>
        <w:pStyle w:val="ECHRPara"/>
        <w:rPr>
          <w:lang w:val="fr-FR"/>
        </w:rPr>
      </w:pPr>
      <w:r w:rsidRPr="009E1AF6">
        <w:rPr>
          <w:lang w:val="fr-FR"/>
        </w:rPr>
        <w:t>15.  Invoquant l</w:t>
      </w:r>
      <w:r w:rsidR="009E1AF6" w:rsidRPr="009E1AF6">
        <w:rPr>
          <w:lang w:val="fr-FR"/>
        </w:rPr>
        <w:t>’</w:t>
      </w:r>
      <w:r w:rsidRPr="009E1AF6">
        <w:rPr>
          <w:lang w:val="fr-FR"/>
        </w:rPr>
        <w:t>article 6 § 1 de la Convention, le requérant se plaint de la durée globale de la procédure civile à laquelle il a été partie.</w:t>
      </w:r>
    </w:p>
    <w:p w:rsidR="00B96D41" w:rsidRPr="009E1AF6" w:rsidRDefault="00B96D41" w:rsidP="009E1AF6">
      <w:pPr>
        <w:pStyle w:val="ECHRPara"/>
        <w:rPr>
          <w:lang w:val="fr-FR"/>
        </w:rPr>
      </w:pPr>
      <w:r w:rsidRPr="009E1AF6">
        <w:rPr>
          <w:lang w:val="fr-FR"/>
        </w:rPr>
        <w:t>16.  Invoquant l</w:t>
      </w:r>
      <w:r w:rsidR="009E1AF6" w:rsidRPr="009E1AF6">
        <w:rPr>
          <w:lang w:val="fr-FR"/>
        </w:rPr>
        <w:t>’</w:t>
      </w:r>
      <w:r w:rsidRPr="009E1AF6">
        <w:rPr>
          <w:lang w:val="fr-FR"/>
        </w:rPr>
        <w:t>article 13 de la Convention, il se plaint de l</w:t>
      </w:r>
      <w:r w:rsidR="009E1AF6" w:rsidRPr="009E1AF6">
        <w:rPr>
          <w:lang w:val="fr-FR"/>
        </w:rPr>
        <w:t>’</w:t>
      </w:r>
      <w:r w:rsidRPr="009E1AF6">
        <w:rPr>
          <w:lang w:val="fr-FR"/>
        </w:rPr>
        <w:t>absence d</w:t>
      </w:r>
      <w:r w:rsidR="009E1AF6" w:rsidRPr="009E1AF6">
        <w:rPr>
          <w:lang w:val="fr-FR"/>
        </w:rPr>
        <w:t>’</w:t>
      </w:r>
      <w:r w:rsidRPr="009E1AF6">
        <w:rPr>
          <w:lang w:val="fr-FR"/>
        </w:rPr>
        <w:t>un remède effectif pour obtenir la satisfaction de son crédit dans le cadre de la procédure de concordat préventif.</w:t>
      </w:r>
    </w:p>
    <w:p w:rsidR="00B96D41" w:rsidRPr="009E1AF6" w:rsidRDefault="00B96D41" w:rsidP="009E1AF6">
      <w:pPr>
        <w:pStyle w:val="ECHRPara"/>
        <w:rPr>
          <w:lang w:val="fr-FR"/>
        </w:rPr>
      </w:pPr>
      <w:r w:rsidRPr="009E1AF6">
        <w:rPr>
          <w:lang w:val="fr-FR"/>
        </w:rPr>
        <w:t>17.  Invoquant l</w:t>
      </w:r>
      <w:r w:rsidR="009E1AF6" w:rsidRPr="009E1AF6">
        <w:rPr>
          <w:lang w:val="fr-FR"/>
        </w:rPr>
        <w:t>’</w:t>
      </w:r>
      <w:r w:rsidRPr="009E1AF6">
        <w:rPr>
          <w:lang w:val="fr-FR"/>
        </w:rPr>
        <w:t>article 1 du Protocole n</w:t>
      </w:r>
      <w:r w:rsidRPr="009E1AF6">
        <w:rPr>
          <w:vertAlign w:val="superscript"/>
          <w:lang w:val="fr-FR"/>
        </w:rPr>
        <w:t>o</w:t>
      </w:r>
      <w:r w:rsidR="008E1AFB" w:rsidRPr="009E1AF6">
        <w:rPr>
          <w:vertAlign w:val="superscript"/>
          <w:lang w:val="fr-FR"/>
        </w:rPr>
        <w:t xml:space="preserve"> </w:t>
      </w:r>
      <w:r w:rsidRPr="009E1AF6">
        <w:rPr>
          <w:lang w:val="fr-FR"/>
        </w:rPr>
        <w:t>1, le requérant dénonce l</w:t>
      </w:r>
      <w:r w:rsidR="009E1AF6" w:rsidRPr="009E1AF6">
        <w:rPr>
          <w:lang w:val="fr-FR"/>
        </w:rPr>
        <w:t>’</w:t>
      </w:r>
      <w:r w:rsidRPr="009E1AF6">
        <w:rPr>
          <w:lang w:val="fr-FR"/>
        </w:rPr>
        <w:t>impossibilité de recouvrer sa créance pendant la même procédure.</w:t>
      </w:r>
    </w:p>
    <w:p w:rsidR="00B96D41" w:rsidRPr="009E1AF6" w:rsidRDefault="00B96D41" w:rsidP="009E1AF6">
      <w:pPr>
        <w:pStyle w:val="ECHRTitle1"/>
        <w:rPr>
          <w:lang w:val="fr-FR"/>
        </w:rPr>
      </w:pPr>
      <w:r w:rsidRPr="009E1AF6">
        <w:rPr>
          <w:lang w:val="fr-FR"/>
        </w:rPr>
        <w:t>EN DROIT</w:t>
      </w:r>
    </w:p>
    <w:p w:rsidR="00B96D41" w:rsidRPr="009E1AF6" w:rsidRDefault="00B96D41" w:rsidP="009E1AF6">
      <w:pPr>
        <w:pStyle w:val="ECHRPara"/>
        <w:rPr>
          <w:lang w:val="fr-FR"/>
        </w:rPr>
      </w:pPr>
      <w:r w:rsidRPr="009E1AF6">
        <w:rPr>
          <w:lang w:val="fr-FR"/>
        </w:rPr>
        <w:t>18.  Le requérant invoque une violation des articles 6 § 1 et 13 de la Convention et 1 du Protocole n</w:t>
      </w:r>
      <w:r w:rsidRPr="009E1AF6">
        <w:rPr>
          <w:vertAlign w:val="superscript"/>
          <w:lang w:val="fr-FR"/>
        </w:rPr>
        <w:t>o</w:t>
      </w:r>
      <w:r w:rsidR="008E1AFB" w:rsidRPr="009E1AF6">
        <w:rPr>
          <w:vertAlign w:val="superscript"/>
          <w:lang w:val="fr-FR"/>
        </w:rPr>
        <w:t xml:space="preserve"> </w:t>
      </w:r>
      <w:r w:rsidRPr="009E1AF6">
        <w:rPr>
          <w:lang w:val="fr-FR"/>
        </w:rPr>
        <w:t>1, qui se lisent comme suit :</w:t>
      </w:r>
    </w:p>
    <w:p w:rsidR="00B96D41" w:rsidRPr="009E1AF6" w:rsidRDefault="00B96D41" w:rsidP="009E1AF6">
      <w:pPr>
        <w:pStyle w:val="ECHRParaQuote"/>
        <w:rPr>
          <w:lang w:val="fr-FR"/>
        </w:rPr>
      </w:pPr>
      <w:r w:rsidRPr="009E1AF6">
        <w:rPr>
          <w:lang w:val="fr-FR"/>
        </w:rPr>
        <w:t>Article 6 § 1</w:t>
      </w:r>
    </w:p>
    <w:p w:rsidR="00B96D41" w:rsidRPr="009E1AF6" w:rsidRDefault="00B96D41" w:rsidP="009E1AF6">
      <w:pPr>
        <w:pStyle w:val="ECHRParaQuote"/>
        <w:rPr>
          <w:lang w:val="fr-FR"/>
        </w:rPr>
      </w:pPr>
      <w:r w:rsidRPr="009E1AF6">
        <w:rPr>
          <w:lang w:val="fr-FR"/>
        </w:rPr>
        <w:t>« Toute personne a droit à ce que sa cause soit entendue (...) dans un délai raisonnable, par un tribunal (...), qui décidera (...) des contestations sur ses droits et obligations de caractère civil (...) »</w:t>
      </w:r>
    </w:p>
    <w:p w:rsidR="00B96D41" w:rsidRPr="009E1AF6" w:rsidRDefault="00B96D41" w:rsidP="009E1AF6">
      <w:pPr>
        <w:pStyle w:val="ECHRParaQuote"/>
        <w:rPr>
          <w:lang w:val="fr-FR"/>
        </w:rPr>
      </w:pPr>
      <w:r w:rsidRPr="009E1AF6">
        <w:rPr>
          <w:lang w:val="fr-FR"/>
        </w:rPr>
        <w:t>Article 13</w:t>
      </w:r>
    </w:p>
    <w:p w:rsidR="00B96D41" w:rsidRPr="009E1AF6" w:rsidRDefault="00B96D41" w:rsidP="009E1AF6">
      <w:pPr>
        <w:pStyle w:val="ECHRParaQuote"/>
        <w:rPr>
          <w:lang w:val="fr-FR"/>
        </w:rPr>
      </w:pPr>
      <w:r w:rsidRPr="009E1AF6">
        <w:rPr>
          <w:lang w:val="fr-FR"/>
        </w:rPr>
        <w:t>« Toute personne dont les droits et libertés reconnus dans la (...) Convention ont été violés, a droit à l</w:t>
      </w:r>
      <w:r w:rsidR="009E1AF6" w:rsidRPr="009E1AF6">
        <w:rPr>
          <w:lang w:val="fr-FR"/>
        </w:rPr>
        <w:t>’</w:t>
      </w:r>
      <w:r w:rsidRPr="009E1AF6">
        <w:rPr>
          <w:lang w:val="fr-FR"/>
        </w:rPr>
        <w:t>octroi d</w:t>
      </w:r>
      <w:r w:rsidR="009E1AF6" w:rsidRPr="009E1AF6">
        <w:rPr>
          <w:lang w:val="fr-FR"/>
        </w:rPr>
        <w:t>’</w:t>
      </w:r>
      <w:r w:rsidRPr="009E1AF6">
        <w:rPr>
          <w:lang w:val="fr-FR"/>
        </w:rPr>
        <w:t>un recours effectif devant une instance nationale, alors même que la violation aurait été commise par des personnes agissant dans l</w:t>
      </w:r>
      <w:r w:rsidR="009E1AF6" w:rsidRPr="009E1AF6">
        <w:rPr>
          <w:lang w:val="fr-FR"/>
        </w:rPr>
        <w:t>’</w:t>
      </w:r>
      <w:r w:rsidRPr="009E1AF6">
        <w:rPr>
          <w:lang w:val="fr-FR"/>
        </w:rPr>
        <w:t>exercice de leurs fonctions officielles. »</w:t>
      </w:r>
    </w:p>
    <w:p w:rsidR="00B96D41" w:rsidRPr="009E1AF6" w:rsidRDefault="00B96D41" w:rsidP="009E1AF6">
      <w:pPr>
        <w:pStyle w:val="ECHRParaQuote"/>
        <w:rPr>
          <w:lang w:val="fr-FR"/>
        </w:rPr>
      </w:pPr>
      <w:r w:rsidRPr="009E1AF6">
        <w:rPr>
          <w:lang w:val="fr-FR"/>
        </w:rPr>
        <w:t>Article 1 du Protocole n</w:t>
      </w:r>
      <w:r w:rsidRPr="009E1AF6">
        <w:rPr>
          <w:vertAlign w:val="superscript"/>
          <w:lang w:val="fr-FR"/>
        </w:rPr>
        <w:t>o</w:t>
      </w:r>
      <w:r w:rsidR="008E1AFB" w:rsidRPr="009E1AF6">
        <w:rPr>
          <w:vertAlign w:val="superscript"/>
          <w:lang w:val="fr-FR"/>
        </w:rPr>
        <w:t xml:space="preserve"> </w:t>
      </w:r>
      <w:r w:rsidRPr="009E1AF6">
        <w:rPr>
          <w:lang w:val="fr-FR"/>
        </w:rPr>
        <w:t>1</w:t>
      </w:r>
    </w:p>
    <w:p w:rsidR="00B96D41" w:rsidRPr="009E1AF6" w:rsidRDefault="00B96D41" w:rsidP="009E1AF6">
      <w:pPr>
        <w:pStyle w:val="ECHRParaQuote"/>
        <w:rPr>
          <w:lang w:val="fr-FR"/>
        </w:rPr>
      </w:pPr>
      <w:r w:rsidRPr="009E1AF6">
        <w:rPr>
          <w:lang w:val="fr-FR"/>
        </w:rPr>
        <w:t>« Toute personne physique ou morale a droit au respect de ses biens. Nul ne peut être privé de sa propriété que pour cause d</w:t>
      </w:r>
      <w:r w:rsidR="009E1AF6" w:rsidRPr="009E1AF6">
        <w:rPr>
          <w:lang w:val="fr-FR"/>
        </w:rPr>
        <w:t>’</w:t>
      </w:r>
      <w:r w:rsidRPr="009E1AF6">
        <w:rPr>
          <w:lang w:val="fr-FR"/>
        </w:rPr>
        <w:t>utilité publique et dans les conditions prévues par la loi et les principes généraux du droit international.</w:t>
      </w:r>
    </w:p>
    <w:p w:rsidR="00B96D41" w:rsidRPr="009E1AF6" w:rsidRDefault="00B96D41" w:rsidP="009E1AF6">
      <w:pPr>
        <w:pStyle w:val="ECHRParaQuote"/>
        <w:rPr>
          <w:lang w:val="fr-FR"/>
        </w:rPr>
      </w:pPr>
      <w:r w:rsidRPr="009E1AF6">
        <w:rPr>
          <w:lang w:val="fr-FR"/>
        </w:rPr>
        <w:t xml:space="preserve">Les dispositions précédentes ne portent pas atteinte au droit que possèdent les </w:t>
      </w:r>
      <w:r w:rsidR="00ED7587" w:rsidRPr="009E1AF6">
        <w:rPr>
          <w:lang w:val="fr-FR"/>
        </w:rPr>
        <w:t>États</w:t>
      </w:r>
      <w:r w:rsidRPr="009E1AF6">
        <w:rPr>
          <w:lang w:val="fr-FR"/>
        </w:rPr>
        <w:t xml:space="preserve"> de mettre en vigueur les lois qu</w:t>
      </w:r>
      <w:r w:rsidR="009E1AF6" w:rsidRPr="009E1AF6">
        <w:rPr>
          <w:lang w:val="fr-FR"/>
        </w:rPr>
        <w:t>’</w:t>
      </w:r>
      <w:r w:rsidRPr="009E1AF6">
        <w:rPr>
          <w:lang w:val="fr-FR"/>
        </w:rPr>
        <w:t>ils jugent nécessaires pour réglementer l</w:t>
      </w:r>
      <w:r w:rsidR="009E1AF6" w:rsidRPr="009E1AF6">
        <w:rPr>
          <w:lang w:val="fr-FR"/>
        </w:rPr>
        <w:t>’</w:t>
      </w:r>
      <w:r w:rsidRPr="009E1AF6">
        <w:rPr>
          <w:lang w:val="fr-FR"/>
        </w:rPr>
        <w:t>usage des biens conformément à l</w:t>
      </w:r>
      <w:r w:rsidR="009E1AF6" w:rsidRPr="009E1AF6">
        <w:rPr>
          <w:lang w:val="fr-FR"/>
        </w:rPr>
        <w:t>’</w:t>
      </w:r>
      <w:r w:rsidRPr="009E1AF6">
        <w:rPr>
          <w:lang w:val="fr-FR"/>
        </w:rPr>
        <w:t>intérêt général ou pour assurer le paiement des impôts ou d</w:t>
      </w:r>
      <w:r w:rsidR="009E1AF6" w:rsidRPr="009E1AF6">
        <w:rPr>
          <w:lang w:val="fr-FR"/>
        </w:rPr>
        <w:t>’</w:t>
      </w:r>
      <w:r w:rsidRPr="009E1AF6">
        <w:rPr>
          <w:lang w:val="fr-FR"/>
        </w:rPr>
        <w:t>autres contributions ou des amendes. »</w:t>
      </w:r>
    </w:p>
    <w:p w:rsidR="00B96D41" w:rsidRPr="009E1AF6" w:rsidRDefault="00B96D41" w:rsidP="009E1AF6">
      <w:pPr>
        <w:pStyle w:val="ECHRPara"/>
        <w:rPr>
          <w:lang w:val="fr-FR"/>
        </w:rPr>
      </w:pPr>
      <w:r w:rsidRPr="009E1AF6">
        <w:rPr>
          <w:lang w:val="fr-FR"/>
        </w:rPr>
        <w:t>19.  Selon le requérant, la durée de la procédure globalement prise ne répond pas à l</w:t>
      </w:r>
      <w:r w:rsidR="009E1AF6" w:rsidRPr="009E1AF6">
        <w:rPr>
          <w:lang w:val="fr-FR"/>
        </w:rPr>
        <w:t>’</w:t>
      </w:r>
      <w:r w:rsidRPr="009E1AF6">
        <w:rPr>
          <w:lang w:val="fr-FR"/>
        </w:rPr>
        <w:t>exigence du « délai raisonnable » tel que prévu par l</w:t>
      </w:r>
      <w:r w:rsidR="009E1AF6" w:rsidRPr="009E1AF6">
        <w:rPr>
          <w:lang w:val="fr-FR"/>
        </w:rPr>
        <w:t>’</w:t>
      </w:r>
      <w:r w:rsidRPr="009E1AF6">
        <w:rPr>
          <w:lang w:val="fr-FR"/>
        </w:rPr>
        <w:t>article 6</w:t>
      </w:r>
      <w:proofErr w:type="gramStart"/>
      <w:r w:rsidR="00ED7587" w:rsidRPr="009E1AF6">
        <w:rPr>
          <w:lang w:val="fr-FR"/>
        </w:rPr>
        <w:t> </w:t>
      </w:r>
      <w:r w:rsidRPr="009E1AF6">
        <w:rPr>
          <w:lang w:val="fr-FR"/>
        </w:rPr>
        <w:t xml:space="preserve"> §</w:t>
      </w:r>
      <w:proofErr w:type="gramEnd"/>
      <w:r w:rsidRPr="009E1AF6">
        <w:rPr>
          <w:lang w:val="fr-FR"/>
        </w:rPr>
        <w:t xml:space="preserve"> 1 de la Convention. Il allègue que la procédure qui a débuté à </w:t>
      </w:r>
      <w:r w:rsidRPr="009E1AF6">
        <w:rPr>
          <w:lang w:val="fr-FR"/>
        </w:rPr>
        <w:lastRenderedPageBreak/>
        <w:t>une date non précisée de 1995, était toujours en cours à la date d</w:t>
      </w:r>
      <w:r w:rsidR="009E1AF6" w:rsidRPr="009E1AF6">
        <w:rPr>
          <w:lang w:val="fr-FR"/>
        </w:rPr>
        <w:t>’</w:t>
      </w:r>
      <w:r w:rsidRPr="009E1AF6">
        <w:rPr>
          <w:lang w:val="fr-FR"/>
        </w:rPr>
        <w:t>introduction de sa requête.</w:t>
      </w:r>
    </w:p>
    <w:p w:rsidR="00B96D41" w:rsidRPr="009E1AF6" w:rsidRDefault="00B96D41" w:rsidP="009E1AF6">
      <w:pPr>
        <w:pStyle w:val="ECHRPara"/>
        <w:rPr>
          <w:lang w:val="pt-PT"/>
        </w:rPr>
      </w:pPr>
      <w:r w:rsidRPr="009E1AF6">
        <w:rPr>
          <w:lang w:val="fr-FR"/>
        </w:rPr>
        <w:t xml:space="preserve">20.  La Cour rappelle que, selon sa jurisprudence bien établie, les </w:t>
      </w:r>
      <w:r w:rsidRPr="009E1AF6">
        <w:rPr>
          <w:szCs w:val="24"/>
          <w:lang w:val="fr-FR" w:eastAsia="fr-FR"/>
        </w:rPr>
        <w:t>États contractants ont l</w:t>
      </w:r>
      <w:r w:rsidR="009E1AF6" w:rsidRPr="009E1AF6">
        <w:rPr>
          <w:szCs w:val="24"/>
          <w:lang w:val="fr-FR" w:eastAsia="fr-FR"/>
        </w:rPr>
        <w:t>’</w:t>
      </w:r>
      <w:r w:rsidRPr="009E1AF6">
        <w:rPr>
          <w:szCs w:val="24"/>
          <w:lang w:val="fr-FR" w:eastAsia="fr-FR"/>
        </w:rPr>
        <w:t>obligation d</w:t>
      </w:r>
      <w:r w:rsidR="009E1AF6" w:rsidRPr="009E1AF6">
        <w:rPr>
          <w:szCs w:val="24"/>
          <w:lang w:val="fr-FR" w:eastAsia="fr-FR"/>
        </w:rPr>
        <w:t>’</w:t>
      </w:r>
      <w:r w:rsidRPr="009E1AF6">
        <w:rPr>
          <w:szCs w:val="24"/>
          <w:lang w:val="fr-FR" w:eastAsia="fr-FR"/>
        </w:rPr>
        <w:t xml:space="preserve">assurer que chaque droit revendiqué trouve sa réalisation effective. Dès lors, </w:t>
      </w:r>
      <w:r w:rsidRPr="009E1AF6">
        <w:rPr>
          <w:lang w:val="fr-FR"/>
        </w:rPr>
        <w:t>l</w:t>
      </w:r>
      <w:r w:rsidR="009E1AF6" w:rsidRPr="009E1AF6">
        <w:rPr>
          <w:lang w:val="fr-FR"/>
        </w:rPr>
        <w:t>’</w:t>
      </w:r>
      <w:r w:rsidRPr="009E1AF6">
        <w:rPr>
          <w:lang w:val="fr-FR"/>
        </w:rPr>
        <w:t>exécution d</w:t>
      </w:r>
      <w:r w:rsidR="009E1AF6" w:rsidRPr="009E1AF6">
        <w:rPr>
          <w:lang w:val="fr-FR"/>
        </w:rPr>
        <w:t>’</w:t>
      </w:r>
      <w:r w:rsidRPr="009E1AF6">
        <w:rPr>
          <w:lang w:val="fr-FR"/>
        </w:rPr>
        <w:t>un jugement, de quelque juridiction que ce soit, doit être considérée comme faisant partie intégrante du « procès » au sens de l</w:t>
      </w:r>
      <w:r w:rsidR="009E1AF6" w:rsidRPr="009E1AF6">
        <w:rPr>
          <w:lang w:val="fr-FR"/>
        </w:rPr>
        <w:t>’</w:t>
      </w:r>
      <w:r w:rsidRPr="009E1AF6">
        <w:rPr>
          <w:lang w:val="fr-FR"/>
        </w:rPr>
        <w:t xml:space="preserve">article 6 (voir, notamment, </w:t>
      </w:r>
      <w:proofErr w:type="spellStart"/>
      <w:r w:rsidRPr="009E1AF6">
        <w:rPr>
          <w:i/>
          <w:lang w:val="fr-FR"/>
        </w:rPr>
        <w:t>Scordino</w:t>
      </w:r>
      <w:proofErr w:type="spellEnd"/>
      <w:r w:rsidRPr="009E1AF6">
        <w:rPr>
          <w:i/>
          <w:lang w:val="fr-FR"/>
        </w:rPr>
        <w:t xml:space="preserve"> c. Italie (n</w:t>
      </w:r>
      <w:r w:rsidRPr="009E1AF6">
        <w:rPr>
          <w:rFonts w:cs="Times New Roman"/>
          <w:i/>
          <w:vertAlign w:val="superscript"/>
          <w:lang w:val="fr-FR"/>
        </w:rPr>
        <w:t>o</w:t>
      </w:r>
      <w:r w:rsidRPr="009E1AF6">
        <w:rPr>
          <w:i/>
          <w:lang w:val="fr-FR"/>
        </w:rPr>
        <w:t> 1)</w:t>
      </w:r>
      <w:r w:rsidRPr="009E1AF6">
        <w:rPr>
          <w:lang w:val="fr-FR"/>
        </w:rPr>
        <w:t xml:space="preserve"> [GC], n</w:t>
      </w:r>
      <w:r w:rsidRPr="009E1AF6">
        <w:rPr>
          <w:szCs w:val="24"/>
          <w:vertAlign w:val="superscript"/>
          <w:lang w:val="fr-FR"/>
        </w:rPr>
        <w:t>o</w:t>
      </w:r>
      <w:r w:rsidRPr="009E1AF6">
        <w:rPr>
          <w:lang w:val="fr-FR"/>
        </w:rPr>
        <w:t xml:space="preserve"> 36813/97, § 197, CEDH 2006</w:t>
      </w:r>
      <w:r w:rsidRPr="009E1AF6">
        <w:rPr>
          <w:lang w:val="fr-FR"/>
        </w:rPr>
        <w:noBreakHyphen/>
        <w:t xml:space="preserve">V ; </w:t>
      </w:r>
      <w:r w:rsidR="005A31EC" w:rsidRPr="009E1AF6">
        <w:rPr>
          <w:lang w:val="fr-FR"/>
        </w:rPr>
        <w:t xml:space="preserve">et </w:t>
      </w:r>
      <w:r w:rsidRPr="009E1AF6">
        <w:rPr>
          <w:i/>
          <w:lang w:val="pt-PT"/>
        </w:rPr>
        <w:t>Metaxas c. Grèce</w:t>
      </w:r>
      <w:r w:rsidRPr="009E1AF6">
        <w:rPr>
          <w:lang w:val="pt-PT"/>
        </w:rPr>
        <w:t>, n</w:t>
      </w:r>
      <w:r w:rsidRPr="009E1AF6">
        <w:rPr>
          <w:vertAlign w:val="superscript"/>
          <w:lang w:val="pt-PT"/>
        </w:rPr>
        <w:t>o </w:t>
      </w:r>
      <w:r w:rsidRPr="009E1AF6">
        <w:rPr>
          <w:lang w:val="pt-PT"/>
        </w:rPr>
        <w:t>8415/02, § 25, 27 mai 2004</w:t>
      </w:r>
      <w:r w:rsidRPr="009E1AF6">
        <w:rPr>
          <w:lang w:val="fr-FR"/>
        </w:rPr>
        <w:t>).</w:t>
      </w:r>
    </w:p>
    <w:p w:rsidR="00B96D41" w:rsidRPr="009E1AF6" w:rsidRDefault="00B96D41" w:rsidP="009E1AF6">
      <w:pPr>
        <w:pStyle w:val="ECHRPara"/>
        <w:rPr>
          <w:lang w:val="fr-FR"/>
        </w:rPr>
      </w:pPr>
      <w:r w:rsidRPr="009E1AF6">
        <w:rPr>
          <w:szCs w:val="24"/>
          <w:lang w:val="fr-FR" w:eastAsia="fr-FR"/>
        </w:rPr>
        <w:t>21.  Elle a également indiqué que l</w:t>
      </w:r>
      <w:r w:rsidR="009E1AF6" w:rsidRPr="009E1AF6">
        <w:rPr>
          <w:szCs w:val="24"/>
          <w:lang w:val="fr-FR" w:eastAsia="fr-FR"/>
        </w:rPr>
        <w:t>’</w:t>
      </w:r>
      <w:r w:rsidRPr="009E1AF6">
        <w:rPr>
          <w:szCs w:val="24"/>
          <w:lang w:val="fr-FR" w:eastAsia="fr-FR"/>
        </w:rPr>
        <w:t>étendue de cette obligation varie en fonction de la qualité de la partie débitrice. En effet, elle a établi une distinction selon la nature de la partie débitrice, le débiteur étant un particulier ou une administration de l</w:t>
      </w:r>
      <w:r w:rsidR="009E1AF6" w:rsidRPr="009E1AF6">
        <w:rPr>
          <w:szCs w:val="24"/>
          <w:lang w:val="fr-FR" w:eastAsia="fr-FR"/>
        </w:rPr>
        <w:t>’</w:t>
      </w:r>
      <w:r w:rsidRPr="009E1AF6">
        <w:rPr>
          <w:szCs w:val="24"/>
          <w:lang w:val="fr-FR" w:eastAsia="fr-FR"/>
        </w:rPr>
        <w:t>État (</w:t>
      </w:r>
      <w:proofErr w:type="spellStart"/>
      <w:r w:rsidRPr="009E1AF6">
        <w:rPr>
          <w:i/>
          <w:lang w:val="fr-FR"/>
        </w:rPr>
        <w:t>Bozza</w:t>
      </w:r>
      <w:proofErr w:type="spellEnd"/>
      <w:r w:rsidRPr="009E1AF6">
        <w:rPr>
          <w:i/>
          <w:lang w:val="fr-FR"/>
        </w:rPr>
        <w:t xml:space="preserve"> c. Italie</w:t>
      </w:r>
      <w:r w:rsidRPr="009E1AF6">
        <w:rPr>
          <w:lang w:val="fr-FR"/>
        </w:rPr>
        <w:t>, n</w:t>
      </w:r>
      <w:r w:rsidRPr="009E1AF6">
        <w:rPr>
          <w:vertAlign w:val="superscript"/>
          <w:lang w:val="fr-FR"/>
        </w:rPr>
        <w:t>o</w:t>
      </w:r>
      <w:r w:rsidR="008E1AFB" w:rsidRPr="009E1AF6">
        <w:rPr>
          <w:vertAlign w:val="superscript"/>
          <w:lang w:val="fr-FR"/>
        </w:rPr>
        <w:t xml:space="preserve"> </w:t>
      </w:r>
      <w:r w:rsidRPr="009E1AF6">
        <w:rPr>
          <w:lang w:val="fr-FR"/>
        </w:rPr>
        <w:t>17739/09, §§</w:t>
      </w:r>
      <w:proofErr w:type="gramStart"/>
      <w:r w:rsidR="00ED7587" w:rsidRPr="009E1AF6">
        <w:rPr>
          <w:lang w:val="fr-FR"/>
        </w:rPr>
        <w:t> </w:t>
      </w:r>
      <w:r w:rsidRPr="009E1AF6">
        <w:rPr>
          <w:lang w:val="fr-FR"/>
        </w:rPr>
        <w:t xml:space="preserve"> 42</w:t>
      </w:r>
      <w:proofErr w:type="gramEnd"/>
      <w:r w:rsidRPr="009E1AF6">
        <w:rPr>
          <w:lang w:val="fr-FR"/>
        </w:rPr>
        <w:t>-48, 29 septembre 2017).</w:t>
      </w:r>
    </w:p>
    <w:p w:rsidR="00B96D41" w:rsidRPr="009E1AF6" w:rsidRDefault="00B96D41" w:rsidP="009E1AF6">
      <w:pPr>
        <w:pStyle w:val="ECHRPara"/>
        <w:rPr>
          <w:snapToGrid w:val="0"/>
          <w:lang w:val="fr-FR"/>
        </w:rPr>
      </w:pPr>
      <w:bookmarkStart w:id="1" w:name="principes_applicables"/>
      <w:r w:rsidRPr="009E1AF6">
        <w:rPr>
          <w:szCs w:val="24"/>
          <w:lang w:val="fr-FR" w:eastAsia="fr-FR"/>
        </w:rPr>
        <w:t>22</w:t>
      </w:r>
      <w:bookmarkEnd w:id="1"/>
      <w:r w:rsidRPr="009E1AF6">
        <w:rPr>
          <w:szCs w:val="24"/>
          <w:lang w:val="fr-FR" w:eastAsia="fr-FR"/>
        </w:rPr>
        <w:t>.  Lorsque le particulier ou la personne privée est défaillant, il revient aux États contractants d</w:t>
      </w:r>
      <w:r w:rsidR="009E1AF6" w:rsidRPr="009E1AF6">
        <w:rPr>
          <w:szCs w:val="24"/>
          <w:lang w:val="fr-FR" w:eastAsia="fr-FR"/>
        </w:rPr>
        <w:t>’</w:t>
      </w:r>
      <w:r w:rsidRPr="009E1AF6">
        <w:rPr>
          <w:szCs w:val="24"/>
          <w:lang w:val="fr-FR" w:eastAsia="fr-FR"/>
        </w:rPr>
        <w:t>assurer l</w:t>
      </w:r>
      <w:r w:rsidR="009E1AF6" w:rsidRPr="009E1AF6">
        <w:rPr>
          <w:szCs w:val="24"/>
          <w:lang w:val="fr-FR" w:eastAsia="fr-FR"/>
        </w:rPr>
        <w:t>’</w:t>
      </w:r>
      <w:r w:rsidRPr="009E1AF6">
        <w:rPr>
          <w:szCs w:val="24"/>
          <w:lang w:val="fr-FR" w:eastAsia="fr-FR"/>
        </w:rPr>
        <w:t xml:space="preserve">assistance nécessaire afin que le droit revendiqué trouve sa réalisation effective. </w:t>
      </w:r>
      <w:proofErr w:type="gramStart"/>
      <w:r w:rsidRPr="009E1AF6">
        <w:rPr>
          <w:szCs w:val="24"/>
          <w:lang w:val="fr-FR" w:eastAsia="fr-FR"/>
        </w:rPr>
        <w:t>Si la responsabilité de l</w:t>
      </w:r>
      <w:r w:rsidR="009E1AF6" w:rsidRPr="009E1AF6">
        <w:rPr>
          <w:szCs w:val="24"/>
          <w:lang w:val="fr-FR" w:eastAsia="fr-FR"/>
        </w:rPr>
        <w:t>’</w:t>
      </w:r>
      <w:r w:rsidRPr="009E1AF6">
        <w:rPr>
          <w:szCs w:val="24"/>
          <w:lang w:val="fr-FR" w:eastAsia="fr-FR"/>
        </w:rPr>
        <w:t>État ne se trouve pas engagée du fait du défaut de paiement d</w:t>
      </w:r>
      <w:r w:rsidR="009E1AF6" w:rsidRPr="009E1AF6">
        <w:rPr>
          <w:szCs w:val="24"/>
          <w:lang w:val="fr-FR" w:eastAsia="fr-FR"/>
        </w:rPr>
        <w:t>’</w:t>
      </w:r>
      <w:r w:rsidRPr="009E1AF6">
        <w:rPr>
          <w:szCs w:val="24"/>
          <w:lang w:val="fr-FR" w:eastAsia="fr-FR"/>
        </w:rPr>
        <w:t>une créance exécutoire dû à l</w:t>
      </w:r>
      <w:r w:rsidR="009E1AF6" w:rsidRPr="009E1AF6">
        <w:rPr>
          <w:szCs w:val="24"/>
          <w:lang w:val="fr-FR" w:eastAsia="fr-FR"/>
        </w:rPr>
        <w:t>’</w:t>
      </w:r>
      <w:r w:rsidRPr="009E1AF6">
        <w:rPr>
          <w:szCs w:val="24"/>
          <w:lang w:val="fr-FR" w:eastAsia="fr-FR"/>
        </w:rPr>
        <w:t>insolvabilité d</w:t>
      </w:r>
      <w:r w:rsidR="009E1AF6" w:rsidRPr="009E1AF6">
        <w:rPr>
          <w:szCs w:val="24"/>
          <w:lang w:val="fr-FR" w:eastAsia="fr-FR"/>
        </w:rPr>
        <w:t>’</w:t>
      </w:r>
      <w:r w:rsidRPr="009E1AF6">
        <w:rPr>
          <w:szCs w:val="24"/>
          <w:lang w:val="fr-FR" w:eastAsia="fr-FR"/>
        </w:rPr>
        <w:t>un débiteur « privé</w:t>
      </w:r>
      <w:r w:rsidR="005A31EC" w:rsidRPr="009E1AF6">
        <w:rPr>
          <w:szCs w:val="24"/>
          <w:lang w:val="fr-FR" w:eastAsia="fr-FR"/>
        </w:rPr>
        <w:t> </w:t>
      </w:r>
      <w:r w:rsidRPr="009E1AF6">
        <w:rPr>
          <w:szCs w:val="24"/>
          <w:lang w:val="fr-FR" w:eastAsia="fr-FR"/>
        </w:rPr>
        <w:t xml:space="preserve">» (voir, </w:t>
      </w:r>
      <w:r w:rsidRPr="009E1AF6">
        <w:rPr>
          <w:i/>
          <w:szCs w:val="24"/>
          <w:lang w:val="fr-FR" w:eastAsia="fr-FR"/>
        </w:rPr>
        <w:t>mutatis mutandis</w:t>
      </w:r>
      <w:r w:rsidRPr="009E1AF6">
        <w:rPr>
          <w:szCs w:val="24"/>
          <w:lang w:val="fr-FR" w:eastAsia="fr-FR"/>
        </w:rPr>
        <w:t xml:space="preserve">, </w:t>
      </w:r>
      <w:r w:rsidRPr="009E1AF6">
        <w:rPr>
          <w:i/>
          <w:lang w:val="fr-FR"/>
        </w:rPr>
        <w:t>Sanglier c. France</w:t>
      </w:r>
      <w:r w:rsidRPr="009E1AF6">
        <w:rPr>
          <w:lang w:val="fr-FR"/>
        </w:rPr>
        <w:t>,</w:t>
      </w:r>
      <w:r w:rsidRPr="009E1AF6">
        <w:rPr>
          <w:i/>
          <w:lang w:val="fr-FR"/>
        </w:rPr>
        <w:t xml:space="preserve"> </w:t>
      </w:r>
      <w:r w:rsidRPr="009E1AF6">
        <w:rPr>
          <w:lang w:val="fr-FR"/>
        </w:rPr>
        <w:t>n</w:t>
      </w:r>
      <w:r w:rsidRPr="009E1AF6">
        <w:rPr>
          <w:vertAlign w:val="superscript"/>
          <w:lang w:val="fr-FR"/>
        </w:rPr>
        <w:t>o</w:t>
      </w:r>
      <w:r w:rsidRPr="009E1AF6">
        <w:rPr>
          <w:lang w:val="fr-FR"/>
        </w:rPr>
        <w:t xml:space="preserve"> 50342/99, § 39, 27 mai 2003,</w:t>
      </w:r>
      <w:r w:rsidRPr="009E1AF6">
        <w:rPr>
          <w:szCs w:val="24"/>
          <w:lang w:val="fr-FR" w:eastAsia="fr-FR"/>
        </w:rPr>
        <w:t xml:space="preserve"> </w:t>
      </w:r>
      <w:proofErr w:type="spellStart"/>
      <w:r w:rsidRPr="009E1AF6">
        <w:rPr>
          <w:i/>
          <w:szCs w:val="24"/>
          <w:lang w:val="fr-FR" w:eastAsia="fr-FR"/>
        </w:rPr>
        <w:t>Ciprova</w:t>
      </w:r>
      <w:proofErr w:type="spellEnd"/>
      <w:r w:rsidRPr="009E1AF6">
        <w:rPr>
          <w:i/>
          <w:szCs w:val="24"/>
          <w:lang w:val="fr-FR" w:eastAsia="fr-FR"/>
        </w:rPr>
        <w:t xml:space="preserve"> c. République tchèque</w:t>
      </w:r>
      <w:r w:rsidRPr="009E1AF6">
        <w:rPr>
          <w:szCs w:val="24"/>
          <w:lang w:val="fr-FR" w:eastAsia="fr-FR"/>
        </w:rPr>
        <w:t xml:space="preserve"> (déc.), n</w:t>
      </w:r>
      <w:r w:rsidRPr="009E1AF6">
        <w:rPr>
          <w:szCs w:val="24"/>
          <w:vertAlign w:val="superscript"/>
          <w:lang w:val="fr-FR" w:eastAsia="fr-FR"/>
        </w:rPr>
        <w:t>o</w:t>
      </w:r>
      <w:r w:rsidRPr="009E1AF6">
        <w:rPr>
          <w:szCs w:val="24"/>
          <w:lang w:val="fr-FR" w:eastAsia="fr-FR"/>
        </w:rPr>
        <w:t xml:space="preserve"> 33273/03, 22 mars 2005, et </w:t>
      </w:r>
      <w:proofErr w:type="spellStart"/>
      <w:r w:rsidRPr="009E1AF6">
        <w:rPr>
          <w:i/>
          <w:szCs w:val="24"/>
          <w:lang w:val="fr-FR" w:eastAsia="fr-FR"/>
        </w:rPr>
        <w:t>Cubănit</w:t>
      </w:r>
      <w:proofErr w:type="spellEnd"/>
      <w:r w:rsidRPr="009E1AF6">
        <w:rPr>
          <w:i/>
          <w:szCs w:val="24"/>
          <w:lang w:val="fr-FR" w:eastAsia="fr-FR"/>
        </w:rPr>
        <w:t xml:space="preserve"> c. Roumanie</w:t>
      </w:r>
      <w:r w:rsidRPr="009E1AF6">
        <w:rPr>
          <w:szCs w:val="24"/>
          <w:lang w:val="fr-FR" w:eastAsia="fr-FR"/>
        </w:rPr>
        <w:t xml:space="preserve"> (déc.), n</w:t>
      </w:r>
      <w:r w:rsidRPr="009E1AF6">
        <w:rPr>
          <w:szCs w:val="24"/>
          <w:vertAlign w:val="superscript"/>
          <w:lang w:val="fr-FR" w:eastAsia="fr-FR"/>
        </w:rPr>
        <w:t>o</w:t>
      </w:r>
      <w:r w:rsidRPr="009E1AF6">
        <w:rPr>
          <w:szCs w:val="24"/>
          <w:lang w:val="fr-FR" w:eastAsia="fr-FR"/>
        </w:rPr>
        <w:t> 31510/02, 4 janvier 2007), elle peut l</w:t>
      </w:r>
      <w:r w:rsidR="009E1AF6" w:rsidRPr="009E1AF6">
        <w:rPr>
          <w:szCs w:val="24"/>
          <w:lang w:val="fr-FR" w:eastAsia="fr-FR"/>
        </w:rPr>
        <w:t>’</w:t>
      </w:r>
      <w:r w:rsidRPr="009E1AF6">
        <w:rPr>
          <w:szCs w:val="24"/>
          <w:lang w:val="fr-FR" w:eastAsia="fr-FR"/>
        </w:rPr>
        <w:t>être lorsque les autorités publiques impliquées dans les procédures d</w:t>
      </w:r>
      <w:r w:rsidR="009E1AF6" w:rsidRPr="009E1AF6">
        <w:rPr>
          <w:szCs w:val="24"/>
          <w:lang w:val="fr-FR" w:eastAsia="fr-FR"/>
        </w:rPr>
        <w:t>’</w:t>
      </w:r>
      <w:r w:rsidRPr="009E1AF6">
        <w:rPr>
          <w:szCs w:val="24"/>
          <w:lang w:val="fr-FR" w:eastAsia="fr-FR"/>
        </w:rPr>
        <w:t>exécution manquent de la diligence requise ou encore empêchent l</w:t>
      </w:r>
      <w:r w:rsidR="009E1AF6" w:rsidRPr="009E1AF6">
        <w:rPr>
          <w:szCs w:val="24"/>
          <w:lang w:val="fr-FR" w:eastAsia="fr-FR"/>
        </w:rPr>
        <w:t>’</w:t>
      </w:r>
      <w:r w:rsidRPr="009E1AF6">
        <w:rPr>
          <w:szCs w:val="24"/>
          <w:lang w:val="fr-FR" w:eastAsia="fr-FR"/>
        </w:rPr>
        <w:t>exécution (</w:t>
      </w:r>
      <w:r w:rsidRPr="009E1AF6">
        <w:rPr>
          <w:i/>
          <w:lang w:val="fr-FR"/>
        </w:rPr>
        <w:t xml:space="preserve">Bogdan </w:t>
      </w:r>
      <w:proofErr w:type="spellStart"/>
      <w:r w:rsidRPr="009E1AF6">
        <w:rPr>
          <w:i/>
          <w:lang w:val="fr-FR"/>
        </w:rPr>
        <w:t>Vodă</w:t>
      </w:r>
      <w:proofErr w:type="spellEnd"/>
      <w:r w:rsidRPr="009E1AF6">
        <w:rPr>
          <w:i/>
          <w:lang w:val="fr-FR"/>
        </w:rPr>
        <w:t xml:space="preserve"> Greek-</w:t>
      </w:r>
      <w:proofErr w:type="spellStart"/>
      <w:r w:rsidRPr="009E1AF6">
        <w:rPr>
          <w:i/>
          <w:lang w:val="fr-FR"/>
        </w:rPr>
        <w:t>Catholic</w:t>
      </w:r>
      <w:proofErr w:type="spellEnd"/>
      <w:r w:rsidRPr="009E1AF6">
        <w:rPr>
          <w:i/>
          <w:lang w:val="fr-FR"/>
        </w:rPr>
        <w:t xml:space="preserve"> Parish</w:t>
      </w:r>
      <w:r w:rsidRPr="009E1AF6">
        <w:rPr>
          <w:lang w:val="fr-FR"/>
        </w:rPr>
        <w:t xml:space="preserve"> </w:t>
      </w:r>
      <w:r w:rsidRPr="009E1AF6">
        <w:rPr>
          <w:i/>
          <w:lang w:val="fr-FR"/>
        </w:rPr>
        <w:t>c. Roumanie</w:t>
      </w:r>
      <w:r w:rsidRPr="009E1AF6">
        <w:rPr>
          <w:lang w:val="fr-FR"/>
        </w:rPr>
        <w:t>, n</w:t>
      </w:r>
      <w:r w:rsidRPr="009E1AF6">
        <w:rPr>
          <w:vertAlign w:val="superscript"/>
          <w:lang w:val="fr-FR"/>
        </w:rPr>
        <w:t>o</w:t>
      </w:r>
      <w:r w:rsidRPr="009E1AF6">
        <w:rPr>
          <w:lang w:val="fr-FR"/>
        </w:rPr>
        <w:t> 26270/04</w:t>
      </w:r>
      <w:r w:rsidRPr="009E1AF6">
        <w:rPr>
          <w:snapToGrid w:val="0"/>
          <w:lang w:val="fr-FR"/>
        </w:rPr>
        <w:t>, § 44, 1</w:t>
      </w:r>
      <w:r w:rsidRPr="009E1AF6">
        <w:rPr>
          <w:lang w:val="fr-FR"/>
        </w:rPr>
        <w:t>9</w:t>
      </w:r>
      <w:r w:rsidRPr="009E1AF6">
        <w:rPr>
          <w:snapToGrid w:val="0"/>
          <w:lang w:val="fr-FR"/>
        </w:rPr>
        <w:t xml:space="preserve"> </w:t>
      </w:r>
      <w:r w:rsidRPr="009E1AF6">
        <w:rPr>
          <w:lang w:val="fr-FR"/>
        </w:rPr>
        <w:t>novembre</w:t>
      </w:r>
      <w:r w:rsidRPr="009E1AF6">
        <w:rPr>
          <w:snapToGrid w:val="0"/>
          <w:lang w:val="fr-FR"/>
        </w:rPr>
        <w:t xml:space="preserve"> 2013, et </w:t>
      </w:r>
      <w:proofErr w:type="spellStart"/>
      <w:r w:rsidRPr="009E1AF6">
        <w:rPr>
          <w:i/>
          <w:snapToGrid w:val="0"/>
          <w:lang w:val="fr-FR"/>
        </w:rPr>
        <w:t>Sekul</w:t>
      </w:r>
      <w:proofErr w:type="spellEnd"/>
      <w:r w:rsidRPr="009E1AF6">
        <w:rPr>
          <w:i/>
          <w:snapToGrid w:val="0"/>
          <w:lang w:val="fr-FR"/>
        </w:rPr>
        <w:t xml:space="preserve"> c. Croatie</w:t>
      </w:r>
      <w:r w:rsidRPr="009E1AF6">
        <w:rPr>
          <w:snapToGrid w:val="0"/>
          <w:lang w:val="fr-FR"/>
        </w:rPr>
        <w:t xml:space="preserve"> (déc.), n</w:t>
      </w:r>
      <w:r w:rsidRPr="009E1AF6">
        <w:rPr>
          <w:snapToGrid w:val="0"/>
          <w:vertAlign w:val="superscript"/>
          <w:lang w:val="fr-FR"/>
        </w:rPr>
        <w:t>o</w:t>
      </w:r>
      <w:r w:rsidRPr="009E1AF6">
        <w:rPr>
          <w:snapToGrid w:val="0"/>
          <w:lang w:val="fr-FR"/>
        </w:rPr>
        <w:t xml:space="preserve"> 43569/13, §§ 54-55, 30 juin 2015).</w:t>
      </w:r>
      <w:proofErr w:type="gramEnd"/>
    </w:p>
    <w:p w:rsidR="00B96D41" w:rsidRPr="009E1AF6" w:rsidRDefault="00B96D41" w:rsidP="009E1AF6">
      <w:pPr>
        <w:pStyle w:val="ECHRPara"/>
        <w:rPr>
          <w:snapToGrid w:val="0"/>
          <w:lang w:val="fr-FR"/>
        </w:rPr>
      </w:pPr>
      <w:r w:rsidRPr="009E1AF6">
        <w:rPr>
          <w:snapToGrid w:val="0"/>
          <w:lang w:val="fr-FR"/>
        </w:rPr>
        <w:t>23.  En l</w:t>
      </w:r>
      <w:r w:rsidR="009E1AF6" w:rsidRPr="009E1AF6">
        <w:rPr>
          <w:snapToGrid w:val="0"/>
          <w:lang w:val="fr-FR"/>
        </w:rPr>
        <w:t>’</w:t>
      </w:r>
      <w:r w:rsidRPr="009E1AF6">
        <w:rPr>
          <w:snapToGrid w:val="0"/>
          <w:lang w:val="fr-FR"/>
        </w:rPr>
        <w:t>espèce, la Cour note qu</w:t>
      </w:r>
      <w:r w:rsidR="009E1AF6" w:rsidRPr="009E1AF6">
        <w:rPr>
          <w:snapToGrid w:val="0"/>
          <w:lang w:val="fr-FR"/>
        </w:rPr>
        <w:t>’</w:t>
      </w:r>
      <w:r w:rsidRPr="009E1AF6">
        <w:rPr>
          <w:snapToGrid w:val="0"/>
          <w:lang w:val="fr-FR"/>
        </w:rPr>
        <w:t>entre la fin de la procédure d</w:t>
      </w:r>
      <w:r w:rsidR="009E1AF6" w:rsidRPr="009E1AF6">
        <w:rPr>
          <w:snapToGrid w:val="0"/>
          <w:lang w:val="fr-FR"/>
        </w:rPr>
        <w:t>’</w:t>
      </w:r>
      <w:r w:rsidRPr="009E1AF6">
        <w:rPr>
          <w:snapToGrid w:val="0"/>
          <w:lang w:val="fr-FR"/>
        </w:rPr>
        <w:t>injonction de paiement (une date non précisée de 2000) et le début de la procédure de concordat préventif (16 septembre 2003), le requérant n</w:t>
      </w:r>
      <w:r w:rsidR="009E1AF6" w:rsidRPr="009E1AF6">
        <w:rPr>
          <w:snapToGrid w:val="0"/>
          <w:lang w:val="fr-FR"/>
        </w:rPr>
        <w:t>’</w:t>
      </w:r>
      <w:r w:rsidRPr="009E1AF6">
        <w:rPr>
          <w:snapToGrid w:val="0"/>
          <w:lang w:val="fr-FR"/>
        </w:rPr>
        <w:t>a pas agi pour obtenir la satisfaction de sa créance, ou en tous cas n</w:t>
      </w:r>
      <w:r w:rsidR="009E1AF6" w:rsidRPr="009E1AF6">
        <w:rPr>
          <w:snapToGrid w:val="0"/>
          <w:lang w:val="fr-FR"/>
        </w:rPr>
        <w:t>’</w:t>
      </w:r>
      <w:r w:rsidRPr="009E1AF6">
        <w:rPr>
          <w:snapToGrid w:val="0"/>
          <w:lang w:val="fr-FR"/>
        </w:rPr>
        <w:t>a pas indiqué à la Cour les actions qu</w:t>
      </w:r>
      <w:r w:rsidR="009E1AF6" w:rsidRPr="009E1AF6">
        <w:rPr>
          <w:snapToGrid w:val="0"/>
          <w:lang w:val="fr-FR"/>
        </w:rPr>
        <w:t>’</w:t>
      </w:r>
      <w:r w:rsidRPr="009E1AF6">
        <w:rPr>
          <w:snapToGrid w:val="0"/>
          <w:lang w:val="fr-FR"/>
        </w:rPr>
        <w:t>il aurait engagé pour obtenir le recouvrement.</w:t>
      </w:r>
    </w:p>
    <w:p w:rsidR="00B96D41" w:rsidRPr="009E1AF6" w:rsidRDefault="00B96D41" w:rsidP="009E1AF6">
      <w:pPr>
        <w:pStyle w:val="ECHRPara"/>
        <w:rPr>
          <w:lang w:val="fr-FR"/>
        </w:rPr>
      </w:pPr>
      <w:r w:rsidRPr="009E1AF6">
        <w:rPr>
          <w:snapToGrid w:val="0"/>
          <w:lang w:val="fr-FR"/>
        </w:rPr>
        <w:t>24.  Dès lors, en rappelant les principes mentionnés plus haut, la Cour ne saurait pas adosser à l</w:t>
      </w:r>
      <w:r w:rsidR="009E1AF6" w:rsidRPr="009E1AF6">
        <w:rPr>
          <w:snapToGrid w:val="0"/>
          <w:lang w:val="fr-FR"/>
        </w:rPr>
        <w:t>’</w:t>
      </w:r>
      <w:r w:rsidRPr="009E1AF6">
        <w:rPr>
          <w:snapToGrid w:val="0"/>
          <w:lang w:val="fr-FR"/>
        </w:rPr>
        <w:t>État l</w:t>
      </w:r>
      <w:r w:rsidR="009E1AF6" w:rsidRPr="009E1AF6">
        <w:rPr>
          <w:snapToGrid w:val="0"/>
          <w:lang w:val="fr-FR"/>
        </w:rPr>
        <w:t>’</w:t>
      </w:r>
      <w:r w:rsidRPr="009E1AF6">
        <w:rPr>
          <w:snapToGrid w:val="0"/>
          <w:lang w:val="fr-FR"/>
        </w:rPr>
        <w:t>inactivité du requérant pendant cette période de trois ans. En effet, dans le cadre de rapports entre particuliers comme celui de la présente affaire, lorsque le débiteur est un particulier les États ont l</w:t>
      </w:r>
      <w:r w:rsidR="009E1AF6" w:rsidRPr="009E1AF6">
        <w:rPr>
          <w:snapToGrid w:val="0"/>
          <w:lang w:val="fr-FR"/>
        </w:rPr>
        <w:t>’</w:t>
      </w:r>
      <w:r w:rsidRPr="009E1AF6">
        <w:rPr>
          <w:snapToGrid w:val="0"/>
          <w:lang w:val="fr-FR"/>
        </w:rPr>
        <w:t>obligation positive de mettre en place un système qui soit effectif en pratique comme en droit et qui permet d</w:t>
      </w:r>
      <w:r w:rsidR="009E1AF6" w:rsidRPr="009E1AF6">
        <w:rPr>
          <w:snapToGrid w:val="0"/>
          <w:lang w:val="fr-FR"/>
        </w:rPr>
        <w:t>’</w:t>
      </w:r>
      <w:r w:rsidRPr="009E1AF6">
        <w:rPr>
          <w:snapToGrid w:val="0"/>
          <w:lang w:val="fr-FR"/>
        </w:rPr>
        <w:t>assurer l</w:t>
      </w:r>
      <w:r w:rsidR="009E1AF6" w:rsidRPr="009E1AF6">
        <w:rPr>
          <w:snapToGrid w:val="0"/>
          <w:lang w:val="fr-FR"/>
        </w:rPr>
        <w:t>’</w:t>
      </w:r>
      <w:r w:rsidRPr="009E1AF6">
        <w:rPr>
          <w:snapToGrid w:val="0"/>
          <w:lang w:val="fr-FR"/>
        </w:rPr>
        <w:t>exécution des décisions judiciaires définitives entre personnes privées (</w:t>
      </w:r>
      <w:proofErr w:type="spellStart"/>
      <w:r w:rsidRPr="009E1AF6">
        <w:rPr>
          <w:i/>
          <w:lang w:val="fr-FR"/>
        </w:rPr>
        <w:t>Fouklev</w:t>
      </w:r>
      <w:proofErr w:type="spellEnd"/>
      <w:r w:rsidRPr="009E1AF6">
        <w:rPr>
          <w:i/>
          <w:lang w:val="fr-FR"/>
        </w:rPr>
        <w:t xml:space="preserve"> c. Ukraine</w:t>
      </w:r>
      <w:r w:rsidRPr="009E1AF6">
        <w:rPr>
          <w:lang w:val="fr-FR"/>
        </w:rPr>
        <w:t>, n</w:t>
      </w:r>
      <w:r w:rsidRPr="009E1AF6">
        <w:rPr>
          <w:vertAlign w:val="superscript"/>
          <w:lang w:val="fr-FR"/>
        </w:rPr>
        <w:t>o </w:t>
      </w:r>
      <w:r w:rsidRPr="009E1AF6">
        <w:rPr>
          <w:lang w:val="fr-FR"/>
        </w:rPr>
        <w:t>71186/01, § 84, 7 juin 2005</w:t>
      </w:r>
      <w:r w:rsidRPr="009E1AF6">
        <w:rPr>
          <w:snapToGrid w:val="0"/>
          <w:lang w:val="fr-FR"/>
        </w:rPr>
        <w:t>). Ce qui signifie que l</w:t>
      </w:r>
      <w:r w:rsidR="009E1AF6" w:rsidRPr="009E1AF6">
        <w:rPr>
          <w:snapToGrid w:val="0"/>
          <w:lang w:val="fr-FR"/>
        </w:rPr>
        <w:t>’</w:t>
      </w:r>
      <w:r w:rsidRPr="009E1AF6">
        <w:rPr>
          <w:snapToGrid w:val="0"/>
          <w:lang w:val="fr-FR"/>
        </w:rPr>
        <w:t>éventuelle négligence ou retard dans l</w:t>
      </w:r>
      <w:r w:rsidR="009E1AF6" w:rsidRPr="009E1AF6">
        <w:rPr>
          <w:snapToGrid w:val="0"/>
          <w:lang w:val="fr-FR"/>
        </w:rPr>
        <w:t>’</w:t>
      </w:r>
      <w:r w:rsidRPr="009E1AF6">
        <w:rPr>
          <w:snapToGrid w:val="0"/>
          <w:lang w:val="fr-FR"/>
        </w:rPr>
        <w:t>utilisation des remèdes disponibles ne saurait pas être imputée aux États, tout comme l</w:t>
      </w:r>
      <w:r w:rsidR="009E1AF6" w:rsidRPr="009E1AF6">
        <w:rPr>
          <w:snapToGrid w:val="0"/>
          <w:lang w:val="fr-FR"/>
        </w:rPr>
        <w:t>’</w:t>
      </w:r>
      <w:r w:rsidRPr="009E1AF6">
        <w:rPr>
          <w:snapToGrid w:val="0"/>
          <w:lang w:val="fr-FR"/>
        </w:rPr>
        <w:t>insolvabilité du débiteur privé, en l</w:t>
      </w:r>
      <w:r w:rsidR="009E1AF6" w:rsidRPr="009E1AF6">
        <w:rPr>
          <w:snapToGrid w:val="0"/>
          <w:lang w:val="fr-FR"/>
        </w:rPr>
        <w:t>’</w:t>
      </w:r>
      <w:r w:rsidRPr="009E1AF6">
        <w:rPr>
          <w:snapToGrid w:val="0"/>
          <w:lang w:val="fr-FR"/>
        </w:rPr>
        <w:t>espèce à l</w:t>
      </w:r>
      <w:r w:rsidR="009E1AF6" w:rsidRPr="009E1AF6">
        <w:rPr>
          <w:snapToGrid w:val="0"/>
          <w:lang w:val="fr-FR"/>
        </w:rPr>
        <w:t>’</w:t>
      </w:r>
      <w:r w:rsidRPr="009E1AF6">
        <w:rPr>
          <w:snapToGrid w:val="0"/>
          <w:lang w:val="fr-FR"/>
        </w:rPr>
        <w:t>origine de l</w:t>
      </w:r>
      <w:r w:rsidR="009E1AF6" w:rsidRPr="009E1AF6">
        <w:rPr>
          <w:snapToGrid w:val="0"/>
          <w:lang w:val="fr-FR"/>
        </w:rPr>
        <w:t>’</w:t>
      </w:r>
      <w:r w:rsidRPr="009E1AF6">
        <w:rPr>
          <w:snapToGrid w:val="0"/>
          <w:lang w:val="fr-FR"/>
        </w:rPr>
        <w:t xml:space="preserve">ouverture de la procédure de concordat préventif (voir paragraphe </w:t>
      </w:r>
      <w:r w:rsidRPr="009E1AF6">
        <w:rPr>
          <w:szCs w:val="24"/>
          <w:lang w:val="fr-FR" w:eastAsia="fr-FR"/>
        </w:rPr>
        <w:t>22</w:t>
      </w:r>
      <w:r w:rsidRPr="009E1AF6">
        <w:rPr>
          <w:snapToGrid w:val="0"/>
          <w:lang w:val="fr-FR"/>
        </w:rPr>
        <w:t xml:space="preserve"> ci-dessus). Par conséquent, la Cour ne voit aucun lien de </w:t>
      </w:r>
      <w:r w:rsidRPr="009E1AF6">
        <w:rPr>
          <w:snapToGrid w:val="0"/>
          <w:lang w:val="fr-FR"/>
        </w:rPr>
        <w:lastRenderedPageBreak/>
        <w:t xml:space="preserve">continuité entre la première et la deuxième procédure (voir, </w:t>
      </w:r>
      <w:r w:rsidRPr="009E1AF6">
        <w:rPr>
          <w:i/>
          <w:snapToGrid w:val="0"/>
          <w:lang w:val="fr-FR"/>
        </w:rPr>
        <w:t>a contrario</w:t>
      </w:r>
      <w:r w:rsidRPr="009E1AF6">
        <w:rPr>
          <w:snapToGrid w:val="0"/>
          <w:lang w:val="fr-FR"/>
        </w:rPr>
        <w:t xml:space="preserve">, </w:t>
      </w:r>
      <w:proofErr w:type="spellStart"/>
      <w:r w:rsidRPr="009E1AF6">
        <w:rPr>
          <w:i/>
          <w:snapToGrid w:val="0"/>
          <w:lang w:val="fr-FR"/>
        </w:rPr>
        <w:t>Bozza</w:t>
      </w:r>
      <w:proofErr w:type="spellEnd"/>
      <w:r w:rsidRPr="009E1AF6">
        <w:rPr>
          <w:i/>
          <w:snapToGrid w:val="0"/>
          <w:lang w:val="fr-FR"/>
        </w:rPr>
        <w:t xml:space="preserve">, </w:t>
      </w:r>
      <w:r w:rsidRPr="009E1AF6">
        <w:rPr>
          <w:snapToGrid w:val="0"/>
          <w:lang w:val="fr-FR"/>
        </w:rPr>
        <w:t>précité, §§ 50-52).</w:t>
      </w:r>
    </w:p>
    <w:p w:rsidR="00B96D41" w:rsidRPr="009E1AF6" w:rsidRDefault="00B96D41" w:rsidP="009E1AF6">
      <w:pPr>
        <w:pStyle w:val="ECHRPara"/>
        <w:rPr>
          <w:lang w:val="fr-FR"/>
        </w:rPr>
      </w:pPr>
      <w:r w:rsidRPr="009E1AF6">
        <w:rPr>
          <w:lang w:val="fr-FR"/>
        </w:rPr>
        <w:t>25.  Il s</w:t>
      </w:r>
      <w:r w:rsidR="009E1AF6" w:rsidRPr="009E1AF6">
        <w:rPr>
          <w:lang w:val="fr-FR"/>
        </w:rPr>
        <w:t>’</w:t>
      </w:r>
      <w:r w:rsidRPr="009E1AF6">
        <w:rPr>
          <w:lang w:val="fr-FR"/>
        </w:rPr>
        <w:t>ensuit que ce grief, en ce qui concerne la procédure d</w:t>
      </w:r>
      <w:r w:rsidR="009E1AF6" w:rsidRPr="009E1AF6">
        <w:rPr>
          <w:lang w:val="fr-FR"/>
        </w:rPr>
        <w:t>’</w:t>
      </w:r>
      <w:r w:rsidRPr="009E1AF6">
        <w:rPr>
          <w:lang w:val="fr-FR"/>
        </w:rPr>
        <w:t>injonction de paiement, est tardif et doit être rejeté en application de l</w:t>
      </w:r>
      <w:r w:rsidR="009E1AF6" w:rsidRPr="009E1AF6">
        <w:rPr>
          <w:lang w:val="fr-FR"/>
        </w:rPr>
        <w:t>’</w:t>
      </w:r>
      <w:r w:rsidRPr="009E1AF6">
        <w:rPr>
          <w:lang w:val="fr-FR"/>
        </w:rPr>
        <w:t>article 35 §§ 1 et 4 de la Convention.</w:t>
      </w:r>
    </w:p>
    <w:p w:rsidR="00B96D41" w:rsidRPr="009E1AF6" w:rsidRDefault="00B96D41" w:rsidP="009E1AF6">
      <w:pPr>
        <w:pStyle w:val="ECHRPara"/>
        <w:rPr>
          <w:snapToGrid w:val="0"/>
          <w:lang w:val="fr-FR"/>
        </w:rPr>
      </w:pPr>
      <w:r w:rsidRPr="009E1AF6">
        <w:rPr>
          <w:lang w:val="fr-FR"/>
        </w:rPr>
        <w:t>26.  E</w:t>
      </w:r>
      <w:r w:rsidRPr="009E1AF6">
        <w:rPr>
          <w:snapToGrid w:val="0"/>
          <w:lang w:val="fr-FR"/>
        </w:rPr>
        <w:t>n ce qui concerne la partie du grief portant sur la procédure de concordat préventif, la Cour constate que celle-ci a débuté le 16 septembre 2003 et qu</w:t>
      </w:r>
      <w:r w:rsidR="009E1AF6" w:rsidRPr="009E1AF6">
        <w:rPr>
          <w:snapToGrid w:val="0"/>
          <w:lang w:val="fr-FR"/>
        </w:rPr>
        <w:t>’</w:t>
      </w:r>
      <w:r w:rsidRPr="009E1AF6">
        <w:rPr>
          <w:snapToGrid w:val="0"/>
          <w:lang w:val="fr-FR"/>
        </w:rPr>
        <w:t>au 26 novembre 2006, date du dépôt de la décision « Pinto », elle avait duré trois ans et deux mois pour un degré de juridiction.</w:t>
      </w:r>
    </w:p>
    <w:p w:rsidR="00B96D41" w:rsidRPr="009E1AF6" w:rsidRDefault="00B96D41" w:rsidP="009E1AF6">
      <w:pPr>
        <w:pStyle w:val="ECHRPara"/>
        <w:rPr>
          <w:lang w:val="fr-FR"/>
        </w:rPr>
      </w:pPr>
      <w:r w:rsidRPr="009E1AF6">
        <w:rPr>
          <w:snapToGrid w:val="0"/>
          <w:lang w:val="fr-FR"/>
        </w:rPr>
        <w:t>27.  Compte tenu de la complexité de l</w:t>
      </w:r>
      <w:r w:rsidR="009E1AF6" w:rsidRPr="009E1AF6">
        <w:rPr>
          <w:snapToGrid w:val="0"/>
          <w:lang w:val="fr-FR"/>
        </w:rPr>
        <w:t>’</w:t>
      </w:r>
      <w:r w:rsidRPr="009E1AF6">
        <w:rPr>
          <w:snapToGrid w:val="0"/>
          <w:lang w:val="fr-FR"/>
        </w:rPr>
        <w:t xml:space="preserve">affaire portant </w:t>
      </w:r>
      <w:r w:rsidRPr="009E1AF6">
        <w:rPr>
          <w:lang w:val="fr-FR"/>
        </w:rPr>
        <w:t>sur l</w:t>
      </w:r>
      <w:r w:rsidR="009E1AF6" w:rsidRPr="009E1AF6">
        <w:rPr>
          <w:lang w:val="fr-FR"/>
        </w:rPr>
        <w:t>’</w:t>
      </w:r>
      <w:r w:rsidRPr="009E1AF6">
        <w:rPr>
          <w:lang w:val="fr-FR"/>
        </w:rPr>
        <w:t>analyse d</w:t>
      </w:r>
      <w:r w:rsidR="009E1AF6" w:rsidRPr="009E1AF6">
        <w:rPr>
          <w:lang w:val="fr-FR"/>
        </w:rPr>
        <w:t>’</w:t>
      </w:r>
      <w:r w:rsidRPr="009E1AF6">
        <w:rPr>
          <w:lang w:val="fr-FR"/>
        </w:rPr>
        <w:t>un nombre élevé d</w:t>
      </w:r>
      <w:r w:rsidR="009E1AF6" w:rsidRPr="009E1AF6">
        <w:rPr>
          <w:lang w:val="fr-FR"/>
        </w:rPr>
        <w:t>’</w:t>
      </w:r>
      <w:r w:rsidRPr="009E1AF6">
        <w:rPr>
          <w:lang w:val="fr-FR"/>
        </w:rPr>
        <w:t>actifs et de passifs composant le patrimoine de la société,</w:t>
      </w:r>
      <w:r w:rsidRPr="009E1AF6">
        <w:rPr>
          <w:snapToGrid w:val="0"/>
          <w:lang w:val="fr-FR"/>
        </w:rPr>
        <w:t xml:space="preserve"> la Cour </w:t>
      </w:r>
      <w:r w:rsidRPr="009E1AF6">
        <w:rPr>
          <w:lang w:val="fr-FR"/>
        </w:rPr>
        <w:t>estime que la durée de cette procédure ne se révèle pas suffisamment importante pour conclure à une violation de l</w:t>
      </w:r>
      <w:r w:rsidR="009E1AF6" w:rsidRPr="009E1AF6">
        <w:rPr>
          <w:lang w:val="fr-FR"/>
        </w:rPr>
        <w:t>’</w:t>
      </w:r>
      <w:r w:rsidRPr="009E1AF6">
        <w:rPr>
          <w:lang w:val="fr-FR"/>
        </w:rPr>
        <w:t>article 6 § 1 de la Convention. Dès lors, cette partie de la requête est manifestement mal fondée et doit être rejetée conformément à l</w:t>
      </w:r>
      <w:r w:rsidR="009E1AF6" w:rsidRPr="009E1AF6">
        <w:rPr>
          <w:lang w:val="fr-FR"/>
        </w:rPr>
        <w:t>’</w:t>
      </w:r>
      <w:r w:rsidRPr="009E1AF6">
        <w:rPr>
          <w:lang w:val="fr-FR"/>
        </w:rPr>
        <w:t xml:space="preserve">article 35 </w:t>
      </w:r>
      <w:r w:rsidRPr="009E1AF6">
        <w:rPr>
          <w:snapToGrid w:val="0"/>
          <w:lang w:val="fr-FR"/>
        </w:rPr>
        <w:t>§§ 3 </w:t>
      </w:r>
      <w:r w:rsidRPr="009E1AF6">
        <w:rPr>
          <w:lang w:val="fr-FR"/>
        </w:rPr>
        <w:t xml:space="preserve">a) </w:t>
      </w:r>
      <w:r w:rsidRPr="009E1AF6">
        <w:rPr>
          <w:snapToGrid w:val="0"/>
          <w:lang w:val="fr-FR"/>
        </w:rPr>
        <w:t>et 4 de la Convention.</w:t>
      </w:r>
    </w:p>
    <w:p w:rsidR="00B96D41" w:rsidRPr="009E1AF6" w:rsidRDefault="00B96D41" w:rsidP="009E1AF6">
      <w:pPr>
        <w:pStyle w:val="ECHRPara"/>
        <w:rPr>
          <w:lang w:val="fr-FR"/>
        </w:rPr>
      </w:pPr>
      <w:r w:rsidRPr="009E1AF6">
        <w:rPr>
          <w:lang w:val="fr-FR"/>
        </w:rPr>
        <w:t>28.  Pour ce qui est de la durée supplémentaire du concordat préventif, le requérant a indiqué, sans en fournir la preuve, qu</w:t>
      </w:r>
      <w:r w:rsidR="009E1AF6" w:rsidRPr="009E1AF6">
        <w:rPr>
          <w:lang w:val="fr-FR"/>
        </w:rPr>
        <w:t>’</w:t>
      </w:r>
      <w:r w:rsidRPr="009E1AF6">
        <w:rPr>
          <w:lang w:val="fr-FR"/>
        </w:rPr>
        <w:t>à la date d</w:t>
      </w:r>
      <w:r w:rsidR="009E1AF6" w:rsidRPr="009E1AF6">
        <w:rPr>
          <w:lang w:val="fr-FR"/>
        </w:rPr>
        <w:t>’</w:t>
      </w:r>
      <w:r w:rsidRPr="009E1AF6">
        <w:rPr>
          <w:lang w:val="fr-FR"/>
        </w:rPr>
        <w:t>introduction de la requête la procédure litigieuse était toujours pendante.</w:t>
      </w:r>
    </w:p>
    <w:p w:rsidR="00B96D41" w:rsidRPr="009E1AF6" w:rsidRDefault="00B96D41" w:rsidP="009E1AF6">
      <w:pPr>
        <w:pStyle w:val="ECHRPara"/>
        <w:rPr>
          <w:lang w:val="fr-FR"/>
        </w:rPr>
      </w:pPr>
      <w:r w:rsidRPr="009E1AF6">
        <w:rPr>
          <w:lang w:val="fr-FR"/>
        </w:rPr>
        <w:t>29.  La Cour a déjà eu l</w:t>
      </w:r>
      <w:r w:rsidR="009E1AF6" w:rsidRPr="009E1AF6">
        <w:rPr>
          <w:lang w:val="fr-FR"/>
        </w:rPr>
        <w:t>’</w:t>
      </w:r>
      <w:r w:rsidRPr="009E1AF6">
        <w:rPr>
          <w:lang w:val="fr-FR"/>
        </w:rPr>
        <w:t>occasion de juger qu</w:t>
      </w:r>
      <w:r w:rsidR="009E1AF6" w:rsidRPr="009E1AF6">
        <w:rPr>
          <w:lang w:val="fr-FR"/>
        </w:rPr>
        <w:t>’</w:t>
      </w:r>
      <w:r w:rsidRPr="009E1AF6">
        <w:rPr>
          <w:lang w:val="fr-FR"/>
        </w:rPr>
        <w:t>en ce qui concerne la durée supplémentaire de la procédure principale qui n</w:t>
      </w:r>
      <w:r w:rsidR="009E1AF6" w:rsidRPr="009E1AF6">
        <w:rPr>
          <w:lang w:val="fr-FR"/>
        </w:rPr>
        <w:t>’</w:t>
      </w:r>
      <w:r w:rsidRPr="009E1AF6">
        <w:rPr>
          <w:lang w:val="fr-FR"/>
        </w:rPr>
        <w:t>a pas été prise en compte par une cour d</w:t>
      </w:r>
      <w:r w:rsidR="009E1AF6" w:rsidRPr="009E1AF6">
        <w:rPr>
          <w:lang w:val="fr-FR"/>
        </w:rPr>
        <w:t>’</w:t>
      </w:r>
      <w:r w:rsidRPr="009E1AF6">
        <w:rPr>
          <w:lang w:val="fr-FR"/>
        </w:rPr>
        <w:t>appel « Pinto », les conséquences à tirer en termes d</w:t>
      </w:r>
      <w:r w:rsidR="009E1AF6" w:rsidRPr="009E1AF6">
        <w:rPr>
          <w:lang w:val="fr-FR"/>
        </w:rPr>
        <w:t>’</w:t>
      </w:r>
      <w:r w:rsidRPr="009E1AF6">
        <w:rPr>
          <w:lang w:val="fr-FR"/>
        </w:rPr>
        <w:t>épuisement des voies de recours internes sur le terrain de l</w:t>
      </w:r>
      <w:r w:rsidR="009E1AF6" w:rsidRPr="009E1AF6">
        <w:rPr>
          <w:lang w:val="fr-FR"/>
        </w:rPr>
        <w:t>’</w:t>
      </w:r>
      <w:r w:rsidRPr="009E1AF6">
        <w:rPr>
          <w:lang w:val="fr-FR"/>
        </w:rPr>
        <w:t>article 35 § 1 de la Convention varient en fonction de la longueur de la période à considérer.</w:t>
      </w:r>
    </w:p>
    <w:p w:rsidR="00B96D41" w:rsidRPr="009E1AF6" w:rsidRDefault="00B96D41" w:rsidP="009E1AF6">
      <w:pPr>
        <w:pStyle w:val="ECHRPara"/>
        <w:rPr>
          <w:lang w:val="fr-FR"/>
        </w:rPr>
      </w:pPr>
      <w:proofErr w:type="gramStart"/>
      <w:r w:rsidRPr="009E1AF6">
        <w:rPr>
          <w:lang w:val="fr-FR"/>
        </w:rPr>
        <w:t>30.  En particulier, la Cour a adopté le critère de l</w:t>
      </w:r>
      <w:r w:rsidR="009E1AF6" w:rsidRPr="009E1AF6">
        <w:rPr>
          <w:lang w:val="fr-FR"/>
        </w:rPr>
        <w:t>’</w:t>
      </w:r>
      <w:r w:rsidRPr="009E1AF6">
        <w:rPr>
          <w:lang w:val="fr-FR"/>
        </w:rPr>
        <w:t>apparence de violation de l</w:t>
      </w:r>
      <w:r w:rsidR="009E1AF6" w:rsidRPr="009E1AF6">
        <w:rPr>
          <w:lang w:val="fr-FR"/>
        </w:rPr>
        <w:t>’</w:t>
      </w:r>
      <w:r w:rsidRPr="009E1AF6">
        <w:rPr>
          <w:lang w:val="fr-FR"/>
        </w:rPr>
        <w:t>article 6 § 1 de la Convention pour déterminer si le requérant était tenu ou pas de se prévaloir une seconde fois du remède « Pinto » pour se plaindre de la durée supplémentaire dans le cadre de la même procédure (</w:t>
      </w:r>
      <w:proofErr w:type="spellStart"/>
      <w:r w:rsidRPr="009E1AF6">
        <w:rPr>
          <w:i/>
          <w:lang w:val="fr-FR"/>
        </w:rPr>
        <w:t>Cocchiarella</w:t>
      </w:r>
      <w:proofErr w:type="spellEnd"/>
      <w:r w:rsidRPr="009E1AF6">
        <w:rPr>
          <w:i/>
          <w:lang w:val="fr-FR"/>
        </w:rPr>
        <w:t xml:space="preserve"> c. Italie</w:t>
      </w:r>
      <w:r w:rsidRPr="009E1AF6">
        <w:rPr>
          <w:lang w:val="fr-FR"/>
        </w:rPr>
        <w:t xml:space="preserve"> [GC], n</w:t>
      </w:r>
      <w:r w:rsidRPr="009E1AF6">
        <w:rPr>
          <w:vertAlign w:val="superscript"/>
          <w:lang w:val="fr-FR"/>
        </w:rPr>
        <w:t>o</w:t>
      </w:r>
      <w:r w:rsidRPr="009E1AF6">
        <w:rPr>
          <w:lang w:val="fr-FR"/>
        </w:rPr>
        <w:t xml:space="preserve"> 64886/01, §§ 115-116, CEDH 2006</w:t>
      </w:r>
      <w:r w:rsidRPr="009E1AF6">
        <w:rPr>
          <w:lang w:val="fr-FR"/>
        </w:rPr>
        <w:noBreakHyphen/>
        <w:t xml:space="preserve">V ; </w:t>
      </w:r>
      <w:proofErr w:type="spellStart"/>
      <w:r w:rsidRPr="009E1AF6">
        <w:rPr>
          <w:i/>
          <w:lang w:val="fr-FR"/>
        </w:rPr>
        <w:t>Rotondi</w:t>
      </w:r>
      <w:proofErr w:type="spellEnd"/>
      <w:r w:rsidRPr="009E1AF6">
        <w:rPr>
          <w:i/>
          <w:lang w:val="fr-FR"/>
        </w:rPr>
        <w:t xml:space="preserve"> c. Italie</w:t>
      </w:r>
      <w:r w:rsidRPr="009E1AF6">
        <w:rPr>
          <w:lang w:val="fr-FR"/>
        </w:rPr>
        <w:t>, n</w:t>
      </w:r>
      <w:r w:rsidRPr="009E1AF6">
        <w:rPr>
          <w:vertAlign w:val="superscript"/>
          <w:lang w:val="fr-FR"/>
        </w:rPr>
        <w:t>o</w:t>
      </w:r>
      <w:r w:rsidRPr="009E1AF6">
        <w:rPr>
          <w:lang w:val="fr-FR"/>
        </w:rPr>
        <w:t xml:space="preserve"> 38113/97, §§ 14-16, 27 avril 2000 ; </w:t>
      </w:r>
      <w:proofErr w:type="spellStart"/>
      <w:r w:rsidRPr="009E1AF6">
        <w:rPr>
          <w:i/>
          <w:lang w:val="fr-FR"/>
        </w:rPr>
        <w:t>Gattuso</w:t>
      </w:r>
      <w:proofErr w:type="spellEnd"/>
      <w:r w:rsidRPr="009E1AF6">
        <w:rPr>
          <w:i/>
          <w:lang w:val="fr-FR"/>
        </w:rPr>
        <w:t xml:space="preserve"> c. Italie, </w:t>
      </w:r>
      <w:r w:rsidRPr="009E1AF6">
        <w:rPr>
          <w:lang w:val="fr-FR"/>
        </w:rPr>
        <w:t>(déc.), n</w:t>
      </w:r>
      <w:r w:rsidRPr="009E1AF6">
        <w:rPr>
          <w:vertAlign w:val="superscript"/>
          <w:lang w:val="fr-FR"/>
        </w:rPr>
        <w:t>o</w:t>
      </w:r>
      <w:r w:rsidRPr="009E1AF6">
        <w:rPr>
          <w:lang w:val="fr-FR"/>
        </w:rPr>
        <w:t xml:space="preserve"> 24715/04, 18 novembre 2004 ; </w:t>
      </w:r>
      <w:r w:rsidR="00102A7B" w:rsidRPr="009E1AF6">
        <w:rPr>
          <w:lang w:val="fr-FR"/>
        </w:rPr>
        <w:t xml:space="preserve">et </w:t>
      </w:r>
      <w:r w:rsidRPr="009E1AF6">
        <w:rPr>
          <w:i/>
          <w:lang w:val="fr-FR"/>
        </w:rPr>
        <w:t>Natale c. Italie</w:t>
      </w:r>
      <w:r w:rsidRPr="009E1AF6">
        <w:rPr>
          <w:lang w:val="fr-FR"/>
        </w:rPr>
        <w:t>, n</w:t>
      </w:r>
      <w:r w:rsidRPr="009E1AF6">
        <w:rPr>
          <w:vertAlign w:val="superscript"/>
          <w:lang w:val="fr-FR"/>
        </w:rPr>
        <w:t>o</w:t>
      </w:r>
      <w:r w:rsidRPr="009E1AF6">
        <w:rPr>
          <w:lang w:val="fr-FR"/>
        </w:rPr>
        <w:t xml:space="preserve"> 25872/02</w:t>
      </w:r>
      <w:r w:rsidR="00102A7B" w:rsidRPr="009E1AF6">
        <w:rPr>
          <w:snapToGrid w:val="0"/>
          <w:lang w:val="fr-FR"/>
        </w:rPr>
        <w:t>, § </w:t>
      </w:r>
      <w:r w:rsidRPr="009E1AF6">
        <w:rPr>
          <w:snapToGrid w:val="0"/>
          <w:lang w:val="fr-FR"/>
        </w:rPr>
        <w:t xml:space="preserve">25, 16 </w:t>
      </w:r>
      <w:r w:rsidRPr="009E1AF6">
        <w:rPr>
          <w:lang w:val="fr-FR"/>
        </w:rPr>
        <w:t>mars</w:t>
      </w:r>
      <w:r w:rsidRPr="009E1AF6">
        <w:rPr>
          <w:snapToGrid w:val="0"/>
          <w:lang w:val="fr-FR"/>
        </w:rPr>
        <w:t xml:space="preserve"> 2010)</w:t>
      </w:r>
      <w:r w:rsidRPr="009E1AF6">
        <w:rPr>
          <w:lang w:val="fr-FR"/>
        </w:rPr>
        <w:t>.</w:t>
      </w:r>
      <w:proofErr w:type="gramEnd"/>
    </w:p>
    <w:p w:rsidR="00B96D41" w:rsidRPr="009E1AF6" w:rsidRDefault="00B96D41" w:rsidP="009E1AF6">
      <w:pPr>
        <w:pStyle w:val="ECHRPara"/>
        <w:rPr>
          <w:lang w:val="fr-FR"/>
        </w:rPr>
      </w:pPr>
      <w:r w:rsidRPr="009E1AF6">
        <w:rPr>
          <w:lang w:val="fr-FR"/>
        </w:rPr>
        <w:t>31.</w:t>
      </w:r>
      <w:r w:rsidR="008E1AFB" w:rsidRPr="009E1AF6">
        <w:rPr>
          <w:lang w:val="fr-FR"/>
        </w:rPr>
        <w:t>  </w:t>
      </w:r>
      <w:r w:rsidRPr="009E1AF6">
        <w:rPr>
          <w:lang w:val="fr-FR"/>
        </w:rPr>
        <w:t>Dans la présente affaire, la durée supplémentaire de la procédure de concordat préventif qui n</w:t>
      </w:r>
      <w:r w:rsidR="009E1AF6" w:rsidRPr="009E1AF6">
        <w:rPr>
          <w:lang w:val="fr-FR"/>
        </w:rPr>
        <w:t>’</w:t>
      </w:r>
      <w:r w:rsidRPr="009E1AF6">
        <w:rPr>
          <w:lang w:val="fr-FR"/>
        </w:rPr>
        <w:t>a pas été prise en compte par la cour d</w:t>
      </w:r>
      <w:r w:rsidR="009E1AF6" w:rsidRPr="009E1AF6">
        <w:rPr>
          <w:lang w:val="fr-FR"/>
        </w:rPr>
        <w:t>’</w:t>
      </w:r>
      <w:r w:rsidRPr="009E1AF6">
        <w:rPr>
          <w:lang w:val="fr-FR"/>
        </w:rPr>
        <w:t>appel de Bologne était, à la date d</w:t>
      </w:r>
      <w:r w:rsidR="009E1AF6" w:rsidRPr="009E1AF6">
        <w:rPr>
          <w:lang w:val="fr-FR"/>
        </w:rPr>
        <w:t>’</w:t>
      </w:r>
      <w:r w:rsidRPr="009E1AF6">
        <w:rPr>
          <w:lang w:val="fr-FR"/>
        </w:rPr>
        <w:t>introduction de la requête, de trois ans et quatre mois. Celle-ci est en soi suffisante pour constituer une seconde violation dans le cadre de la même procédure (</w:t>
      </w:r>
      <w:proofErr w:type="spellStart"/>
      <w:r w:rsidRPr="009E1AF6">
        <w:rPr>
          <w:i/>
          <w:lang w:val="fr-FR"/>
        </w:rPr>
        <w:t>Rotondi</w:t>
      </w:r>
      <w:proofErr w:type="spellEnd"/>
      <w:r w:rsidRPr="009E1AF6">
        <w:rPr>
          <w:lang w:val="fr-FR"/>
        </w:rPr>
        <w:t xml:space="preserve">, précité, §§ 14-16 ; </w:t>
      </w:r>
      <w:r w:rsidRPr="009E1AF6">
        <w:rPr>
          <w:i/>
          <w:lang w:val="fr-FR"/>
        </w:rPr>
        <w:t xml:space="preserve">S.A.GE.MA </w:t>
      </w:r>
      <w:proofErr w:type="spellStart"/>
      <w:r w:rsidRPr="009E1AF6">
        <w:rPr>
          <w:i/>
          <w:lang w:val="fr-FR"/>
        </w:rPr>
        <w:t>S.n.c</w:t>
      </w:r>
      <w:proofErr w:type="spellEnd"/>
      <w:r w:rsidRPr="009E1AF6">
        <w:rPr>
          <w:i/>
          <w:lang w:val="fr-FR"/>
        </w:rPr>
        <w:t>. c. Italie</w:t>
      </w:r>
      <w:r w:rsidRPr="009E1AF6">
        <w:rPr>
          <w:lang w:val="fr-FR"/>
        </w:rPr>
        <w:t>, n</w:t>
      </w:r>
      <w:r w:rsidRPr="009E1AF6">
        <w:rPr>
          <w:vertAlign w:val="superscript"/>
          <w:lang w:val="fr-FR"/>
        </w:rPr>
        <w:t>o</w:t>
      </w:r>
      <w:r w:rsidRPr="009E1AF6">
        <w:rPr>
          <w:lang w:val="fr-FR"/>
        </w:rPr>
        <w:t> 40184/98, §§ 12-14, 27 avril 2000).</w:t>
      </w:r>
    </w:p>
    <w:p w:rsidR="00B96D41" w:rsidRPr="009E1AF6" w:rsidRDefault="00B96D41" w:rsidP="009E1AF6">
      <w:pPr>
        <w:pStyle w:val="ECHRPara"/>
        <w:rPr>
          <w:lang w:val="fr-FR"/>
        </w:rPr>
      </w:pPr>
      <w:r w:rsidRPr="009E1AF6">
        <w:rPr>
          <w:lang w:val="fr-FR"/>
        </w:rPr>
        <w:t>32.  Il s</w:t>
      </w:r>
      <w:r w:rsidR="009E1AF6" w:rsidRPr="009E1AF6">
        <w:rPr>
          <w:lang w:val="fr-FR"/>
        </w:rPr>
        <w:t>’</w:t>
      </w:r>
      <w:r w:rsidRPr="009E1AF6">
        <w:rPr>
          <w:lang w:val="fr-FR"/>
        </w:rPr>
        <w:t>ensuit que cette partie du grief doit être rejeté pour non-épuisement des voies de recours internes, en application de l</w:t>
      </w:r>
      <w:r w:rsidR="009E1AF6" w:rsidRPr="009E1AF6">
        <w:rPr>
          <w:lang w:val="fr-FR"/>
        </w:rPr>
        <w:t>’</w:t>
      </w:r>
      <w:r w:rsidRPr="009E1AF6">
        <w:rPr>
          <w:lang w:val="fr-FR"/>
        </w:rPr>
        <w:t>article 35 §§ 1 et 4 de la Convention.</w:t>
      </w:r>
    </w:p>
    <w:p w:rsidR="00B96D41" w:rsidRPr="009E1AF6" w:rsidRDefault="00B96D41" w:rsidP="009E1AF6">
      <w:pPr>
        <w:pStyle w:val="ECHRPara"/>
        <w:rPr>
          <w:szCs w:val="24"/>
          <w:lang w:val="fr-FR"/>
        </w:rPr>
      </w:pPr>
      <w:r w:rsidRPr="009E1AF6">
        <w:rPr>
          <w:lang w:val="fr-FR"/>
        </w:rPr>
        <w:t>33.  Sur le terrain de l</w:t>
      </w:r>
      <w:r w:rsidR="009E1AF6" w:rsidRPr="009E1AF6">
        <w:rPr>
          <w:lang w:val="fr-FR"/>
        </w:rPr>
        <w:t>’</w:t>
      </w:r>
      <w:r w:rsidRPr="009E1AF6">
        <w:rPr>
          <w:lang w:val="fr-FR"/>
        </w:rPr>
        <w:t>article 1 du Protocole n</w:t>
      </w:r>
      <w:r w:rsidRPr="009E1AF6">
        <w:rPr>
          <w:vertAlign w:val="superscript"/>
          <w:lang w:val="fr-FR"/>
        </w:rPr>
        <w:t>o</w:t>
      </w:r>
      <w:r w:rsidR="008E1AFB" w:rsidRPr="009E1AF6">
        <w:rPr>
          <w:vertAlign w:val="superscript"/>
          <w:lang w:val="fr-FR"/>
        </w:rPr>
        <w:t xml:space="preserve"> </w:t>
      </w:r>
      <w:r w:rsidRPr="009E1AF6">
        <w:rPr>
          <w:lang w:val="fr-FR"/>
        </w:rPr>
        <w:t>1, le requérant se plaint de l</w:t>
      </w:r>
      <w:r w:rsidR="009E1AF6" w:rsidRPr="009E1AF6">
        <w:rPr>
          <w:lang w:val="fr-FR"/>
        </w:rPr>
        <w:t>’</w:t>
      </w:r>
      <w:r w:rsidRPr="009E1AF6">
        <w:rPr>
          <w:lang w:val="fr-FR"/>
        </w:rPr>
        <w:t>impossibilité de recouvrer sa créance de 18 563,13 EUR. Or, la Cour rappelle que, selon sa jurisprudence, lorsqu</w:t>
      </w:r>
      <w:r w:rsidR="009E1AF6" w:rsidRPr="009E1AF6">
        <w:rPr>
          <w:lang w:val="fr-FR"/>
        </w:rPr>
        <w:t>’</w:t>
      </w:r>
      <w:r w:rsidRPr="009E1AF6">
        <w:rPr>
          <w:lang w:val="fr-FR"/>
        </w:rPr>
        <w:t>un grief tiré de l</w:t>
      </w:r>
      <w:r w:rsidR="009E1AF6" w:rsidRPr="009E1AF6">
        <w:rPr>
          <w:lang w:val="fr-FR"/>
        </w:rPr>
        <w:t>’</w:t>
      </w:r>
      <w:r w:rsidRPr="009E1AF6">
        <w:rPr>
          <w:lang w:val="fr-FR"/>
        </w:rPr>
        <w:t xml:space="preserve">article 1 du </w:t>
      </w:r>
      <w:r w:rsidRPr="009E1AF6">
        <w:rPr>
          <w:lang w:val="fr-FR"/>
        </w:rPr>
        <w:lastRenderedPageBreak/>
        <w:t>Protocole n</w:t>
      </w:r>
      <w:r w:rsidRPr="009E1AF6">
        <w:rPr>
          <w:vertAlign w:val="superscript"/>
          <w:lang w:val="fr-FR"/>
        </w:rPr>
        <w:t>o</w:t>
      </w:r>
      <w:r w:rsidRPr="009E1AF6">
        <w:rPr>
          <w:lang w:val="fr-FR"/>
        </w:rPr>
        <w:t xml:space="preserve"> 1 est lié à la durée d</w:t>
      </w:r>
      <w:r w:rsidR="009E1AF6" w:rsidRPr="009E1AF6">
        <w:rPr>
          <w:lang w:val="fr-FR"/>
        </w:rPr>
        <w:t>’</w:t>
      </w:r>
      <w:r w:rsidRPr="009E1AF6">
        <w:rPr>
          <w:lang w:val="fr-FR"/>
        </w:rPr>
        <w:t>une procédure, les requérants doivent faire valoir leurs allégations dans le cadre du même remède prévu par la « loi Pinto » aux fins de l</w:t>
      </w:r>
      <w:r w:rsidR="009E1AF6" w:rsidRPr="009E1AF6">
        <w:rPr>
          <w:lang w:val="fr-FR"/>
        </w:rPr>
        <w:t>’</w:t>
      </w:r>
      <w:r w:rsidRPr="009E1AF6">
        <w:rPr>
          <w:lang w:val="fr-FR"/>
        </w:rPr>
        <w:t xml:space="preserve">article 35 § 1 de la Convention </w:t>
      </w:r>
      <w:r w:rsidRPr="009E1AF6">
        <w:rPr>
          <w:szCs w:val="24"/>
          <w:lang w:val="fr-FR"/>
        </w:rPr>
        <w:t xml:space="preserve">(voir </w:t>
      </w:r>
      <w:proofErr w:type="spellStart"/>
      <w:r w:rsidRPr="009E1AF6">
        <w:rPr>
          <w:i/>
          <w:szCs w:val="24"/>
          <w:lang w:val="fr-FR"/>
        </w:rPr>
        <w:t>Sanseverino</w:t>
      </w:r>
      <w:proofErr w:type="spellEnd"/>
      <w:r w:rsidRPr="009E1AF6">
        <w:rPr>
          <w:i/>
          <w:szCs w:val="24"/>
          <w:lang w:val="fr-FR"/>
        </w:rPr>
        <w:t xml:space="preserve"> c.</w:t>
      </w:r>
      <w:r w:rsidR="00ED7587" w:rsidRPr="009E1AF6">
        <w:rPr>
          <w:i/>
          <w:szCs w:val="24"/>
          <w:lang w:val="fr-FR"/>
        </w:rPr>
        <w:t> </w:t>
      </w:r>
      <w:r w:rsidRPr="009E1AF6">
        <w:rPr>
          <w:i/>
          <w:szCs w:val="24"/>
          <w:lang w:val="fr-FR"/>
        </w:rPr>
        <w:t>Italie</w:t>
      </w:r>
      <w:r w:rsidRPr="009E1AF6">
        <w:rPr>
          <w:szCs w:val="24"/>
          <w:lang w:val="fr-FR"/>
        </w:rPr>
        <w:t>, déc. n</w:t>
      </w:r>
      <w:r w:rsidRPr="009E1AF6">
        <w:rPr>
          <w:szCs w:val="24"/>
          <w:vertAlign w:val="superscript"/>
          <w:lang w:val="fr-FR"/>
        </w:rPr>
        <w:t>o</w:t>
      </w:r>
      <w:r w:rsidRPr="009E1AF6">
        <w:rPr>
          <w:szCs w:val="24"/>
          <w:lang w:val="fr-FR"/>
        </w:rPr>
        <w:t xml:space="preserve"> 75160/01, 19 janvier 2006, </w:t>
      </w:r>
      <w:r w:rsidRPr="009E1AF6">
        <w:rPr>
          <w:i/>
          <w:szCs w:val="24"/>
          <w:lang w:val="fr-FR"/>
        </w:rPr>
        <w:t>mutatis mutandis</w:t>
      </w:r>
      <w:r w:rsidRPr="009E1AF6">
        <w:rPr>
          <w:szCs w:val="24"/>
          <w:lang w:val="fr-FR"/>
        </w:rPr>
        <w:t>,</w:t>
      </w:r>
      <w:r w:rsidRPr="009E1AF6">
        <w:rPr>
          <w:i/>
          <w:szCs w:val="24"/>
          <w:lang w:val="fr-FR"/>
        </w:rPr>
        <w:t xml:space="preserve"> </w:t>
      </w:r>
      <w:proofErr w:type="spellStart"/>
      <w:r w:rsidRPr="009E1AF6">
        <w:rPr>
          <w:i/>
          <w:szCs w:val="24"/>
          <w:lang w:val="fr-FR"/>
        </w:rPr>
        <w:t>Mascolo</w:t>
      </w:r>
      <w:proofErr w:type="spellEnd"/>
      <w:r w:rsidRPr="009E1AF6">
        <w:rPr>
          <w:i/>
          <w:szCs w:val="24"/>
          <w:lang w:val="fr-FR"/>
        </w:rPr>
        <w:t xml:space="preserve"> c. Italie, </w:t>
      </w:r>
      <w:r w:rsidRPr="009E1AF6">
        <w:rPr>
          <w:szCs w:val="24"/>
          <w:lang w:val="fr-FR"/>
        </w:rPr>
        <w:t>déc. n</w:t>
      </w:r>
      <w:r w:rsidRPr="009E1AF6">
        <w:rPr>
          <w:szCs w:val="24"/>
          <w:vertAlign w:val="superscript"/>
          <w:lang w:val="fr-FR"/>
        </w:rPr>
        <w:t>o</w:t>
      </w:r>
      <w:r w:rsidRPr="009E1AF6">
        <w:rPr>
          <w:szCs w:val="24"/>
          <w:lang w:val="fr-FR"/>
        </w:rPr>
        <w:t xml:space="preserve"> 68792/01, 16 octobre 2003, et </w:t>
      </w:r>
      <w:proofErr w:type="spellStart"/>
      <w:r w:rsidRPr="009E1AF6">
        <w:rPr>
          <w:i/>
          <w:szCs w:val="24"/>
          <w:lang w:val="fr-FR"/>
        </w:rPr>
        <w:t>Provvedi</w:t>
      </w:r>
      <w:proofErr w:type="spellEnd"/>
      <w:r w:rsidRPr="009E1AF6">
        <w:rPr>
          <w:szCs w:val="24"/>
          <w:lang w:val="fr-FR"/>
        </w:rPr>
        <w:t xml:space="preserve"> </w:t>
      </w:r>
      <w:r w:rsidRPr="009E1AF6">
        <w:rPr>
          <w:i/>
          <w:szCs w:val="24"/>
          <w:lang w:val="fr-FR"/>
        </w:rPr>
        <w:t>c. Italie</w:t>
      </w:r>
      <w:r w:rsidRPr="009E1AF6">
        <w:rPr>
          <w:szCs w:val="24"/>
          <w:lang w:val="fr-FR"/>
        </w:rPr>
        <w:t>,</w:t>
      </w:r>
      <w:r w:rsidRPr="009E1AF6">
        <w:rPr>
          <w:i/>
          <w:szCs w:val="24"/>
          <w:lang w:val="fr-FR"/>
        </w:rPr>
        <w:t xml:space="preserve"> </w:t>
      </w:r>
      <w:r w:rsidRPr="009E1AF6">
        <w:rPr>
          <w:szCs w:val="24"/>
          <w:lang w:val="fr-FR"/>
        </w:rPr>
        <w:t>déc.</w:t>
      </w:r>
      <w:r w:rsidR="00ED7587" w:rsidRPr="009E1AF6">
        <w:rPr>
          <w:szCs w:val="24"/>
          <w:lang w:val="fr-FR"/>
        </w:rPr>
        <w:t> </w:t>
      </w:r>
      <w:r w:rsidRPr="009E1AF6">
        <w:rPr>
          <w:szCs w:val="24"/>
          <w:lang w:val="fr-FR"/>
        </w:rPr>
        <w:t>n</w:t>
      </w:r>
      <w:r w:rsidRPr="009E1AF6">
        <w:rPr>
          <w:szCs w:val="24"/>
          <w:vertAlign w:val="superscript"/>
          <w:lang w:val="fr-FR"/>
        </w:rPr>
        <w:t>o</w:t>
      </w:r>
      <w:r w:rsidR="00102A7B" w:rsidRPr="009E1AF6">
        <w:rPr>
          <w:szCs w:val="24"/>
          <w:lang w:val="fr-FR"/>
        </w:rPr>
        <w:t xml:space="preserve"> 66644/01, 2 </w:t>
      </w:r>
      <w:r w:rsidRPr="009E1AF6">
        <w:rPr>
          <w:szCs w:val="24"/>
          <w:lang w:val="fr-FR"/>
        </w:rPr>
        <w:t>décembre 2004). Dès lors, pour les mêmes raisons exposées aux paragraphes 28-32 ci-dessus, la Cour rejette ce grief pour non-épuisement des voies de recours internes.</w:t>
      </w:r>
    </w:p>
    <w:p w:rsidR="00B96D41" w:rsidRPr="009E1AF6" w:rsidRDefault="00B96D41" w:rsidP="009E1AF6">
      <w:pPr>
        <w:pStyle w:val="ECHRPara"/>
        <w:rPr>
          <w:szCs w:val="24"/>
          <w:lang w:val="fr-FR"/>
        </w:rPr>
      </w:pPr>
      <w:r w:rsidRPr="009E1AF6">
        <w:rPr>
          <w:szCs w:val="24"/>
          <w:lang w:val="fr-FR"/>
        </w:rPr>
        <w:t>34.  Compte tenu de ce qui précède, le grief tiré de l</w:t>
      </w:r>
      <w:r w:rsidR="009E1AF6" w:rsidRPr="009E1AF6">
        <w:rPr>
          <w:szCs w:val="24"/>
          <w:lang w:val="fr-FR"/>
        </w:rPr>
        <w:t>’</w:t>
      </w:r>
      <w:r w:rsidRPr="009E1AF6">
        <w:rPr>
          <w:szCs w:val="24"/>
          <w:lang w:val="fr-FR"/>
        </w:rPr>
        <w:t>article 13 de la Convention doit être rejeté comme étant manifestement mal fondé en application de l</w:t>
      </w:r>
      <w:r w:rsidR="009E1AF6" w:rsidRPr="009E1AF6">
        <w:rPr>
          <w:szCs w:val="24"/>
          <w:lang w:val="fr-FR"/>
        </w:rPr>
        <w:t>’</w:t>
      </w:r>
      <w:r w:rsidRPr="009E1AF6">
        <w:rPr>
          <w:szCs w:val="24"/>
          <w:lang w:val="fr-FR"/>
        </w:rPr>
        <w:t>article 35 §§ 3 a) et 4 de la Convention.</w:t>
      </w:r>
    </w:p>
    <w:p w:rsidR="00B96D41" w:rsidRPr="009E1AF6" w:rsidRDefault="00B96D41" w:rsidP="009E1AF6">
      <w:pPr>
        <w:pStyle w:val="JuParaLast"/>
        <w:rPr>
          <w:lang w:val="fr-FR"/>
        </w:rPr>
      </w:pPr>
      <w:r w:rsidRPr="009E1AF6">
        <w:rPr>
          <w:lang w:val="fr-FR"/>
        </w:rPr>
        <w:t>Par ces motifs, la Cour, à l</w:t>
      </w:r>
      <w:r w:rsidR="009E1AF6" w:rsidRPr="009E1AF6">
        <w:rPr>
          <w:lang w:val="fr-FR"/>
        </w:rPr>
        <w:t>’</w:t>
      </w:r>
      <w:r w:rsidRPr="009E1AF6">
        <w:rPr>
          <w:lang w:val="fr-FR"/>
        </w:rPr>
        <w:t>unanimité,</w:t>
      </w:r>
    </w:p>
    <w:p w:rsidR="00B96D41" w:rsidRPr="009E1AF6" w:rsidRDefault="00B96D41" w:rsidP="009E1AF6">
      <w:pPr>
        <w:pStyle w:val="DecList"/>
        <w:rPr>
          <w:lang w:val="fr-FR"/>
        </w:rPr>
      </w:pPr>
      <w:r w:rsidRPr="009E1AF6">
        <w:rPr>
          <w:i/>
          <w:lang w:val="fr-FR"/>
        </w:rPr>
        <w:t>Déclare</w:t>
      </w:r>
      <w:r w:rsidRPr="009E1AF6">
        <w:rPr>
          <w:lang w:val="fr-FR"/>
        </w:rPr>
        <w:t xml:space="preserve"> la requête irrecevable.</w:t>
      </w:r>
    </w:p>
    <w:p w:rsidR="006544C4" w:rsidRPr="009E1AF6" w:rsidRDefault="006544C4" w:rsidP="009E1AF6">
      <w:pPr>
        <w:pStyle w:val="ECHRPara"/>
        <w:rPr>
          <w:sz w:val="2"/>
          <w:szCs w:val="2"/>
          <w:lang w:val="fr-FR" w:eastAsia="en-GB"/>
        </w:rPr>
      </w:pPr>
    </w:p>
    <w:p w:rsidR="00050A32" w:rsidRPr="009E1AF6" w:rsidRDefault="00F40988" w:rsidP="009E1AF6">
      <w:pPr>
        <w:pStyle w:val="JuParaLast"/>
        <w:rPr>
          <w:lang w:val="fr-FR"/>
        </w:rPr>
      </w:pPr>
      <w:r w:rsidRPr="009E1AF6">
        <w:rPr>
          <w:szCs w:val="24"/>
          <w:lang w:val="fr-FR"/>
        </w:rPr>
        <w:t xml:space="preserve">Fait en français puis communiqué par écrit le </w:t>
      </w:r>
      <w:r w:rsidR="00B96D41" w:rsidRPr="009E1AF6">
        <w:rPr>
          <w:szCs w:val="24"/>
          <w:lang w:val="fr-FR"/>
        </w:rPr>
        <w:t>19 octobre 2017</w:t>
      </w:r>
      <w:r w:rsidRPr="009E1AF6">
        <w:rPr>
          <w:lang w:val="fr-FR"/>
        </w:rPr>
        <w:t>.</w:t>
      </w:r>
    </w:p>
    <w:p w:rsidR="0091478F" w:rsidRPr="009E1AF6" w:rsidRDefault="00B96D41" w:rsidP="009E1AF6">
      <w:pPr>
        <w:pStyle w:val="JuSigned"/>
        <w:rPr>
          <w:lang w:val="fr-FR"/>
        </w:rPr>
      </w:pPr>
      <w:r w:rsidRPr="009E1AF6">
        <w:rPr>
          <w:lang w:val="fr-FR"/>
        </w:rPr>
        <w:tab/>
        <w:t xml:space="preserve">Renata </w:t>
      </w:r>
      <w:proofErr w:type="spellStart"/>
      <w:r w:rsidRPr="009E1AF6">
        <w:rPr>
          <w:lang w:val="fr-FR"/>
        </w:rPr>
        <w:t>Degener</w:t>
      </w:r>
      <w:proofErr w:type="spellEnd"/>
      <w:r w:rsidR="0091478F" w:rsidRPr="009E1AF6">
        <w:rPr>
          <w:lang w:val="fr-FR"/>
        </w:rPr>
        <w:tab/>
      </w:r>
      <w:r w:rsidRPr="009E1AF6">
        <w:rPr>
          <w:lang w:val="fr-FR"/>
        </w:rPr>
        <w:t xml:space="preserve">Krzysztof </w:t>
      </w:r>
      <w:proofErr w:type="spellStart"/>
      <w:r w:rsidRPr="009E1AF6">
        <w:rPr>
          <w:lang w:val="fr-FR"/>
        </w:rPr>
        <w:t>Wojtyczek</w:t>
      </w:r>
      <w:proofErr w:type="spellEnd"/>
      <w:r w:rsidRPr="009E1AF6">
        <w:rPr>
          <w:i/>
          <w:lang w:val="fr-FR"/>
        </w:rPr>
        <w:br/>
      </w:r>
      <w:r w:rsidR="0035621E" w:rsidRPr="009E1AF6">
        <w:rPr>
          <w:iCs/>
          <w:lang w:val="fr-FR"/>
        </w:rPr>
        <w:tab/>
      </w:r>
      <w:r w:rsidRPr="009E1AF6">
        <w:rPr>
          <w:lang w:val="fr-FR"/>
        </w:rPr>
        <w:t>Greffière adjointe</w:t>
      </w:r>
      <w:r w:rsidR="0091478F" w:rsidRPr="009E1AF6">
        <w:rPr>
          <w:lang w:val="fr-FR"/>
        </w:rPr>
        <w:tab/>
      </w:r>
      <w:r w:rsidRPr="009E1AF6">
        <w:rPr>
          <w:lang w:val="fr-FR"/>
        </w:rPr>
        <w:t>Président</w:t>
      </w:r>
    </w:p>
    <w:sectPr w:rsidR="0091478F" w:rsidRPr="009E1AF6"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B5" w:rsidRPr="007A6280" w:rsidRDefault="00B06CB5" w:rsidP="006544C4">
      <w:pPr>
        <w:rPr>
          <w:lang w:val="fr-FR"/>
        </w:rPr>
      </w:pPr>
      <w:r w:rsidRPr="007A6280">
        <w:rPr>
          <w:lang w:val="fr-FR"/>
        </w:rPr>
        <w:separator/>
      </w:r>
    </w:p>
  </w:endnote>
  <w:endnote w:type="continuationSeparator" w:id="0">
    <w:p w:rsidR="00B06CB5" w:rsidRPr="007A6280" w:rsidRDefault="00B06CB5"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41" w:rsidRPr="00150BFA" w:rsidRDefault="00B96D41" w:rsidP="0020718E">
    <w:pPr>
      <w:jc w:val="center"/>
    </w:pPr>
    <w:r>
      <w:rPr>
        <w:noProof/>
        <w:lang w:val="it-IT" w:eastAsia="it-IT"/>
      </w:rPr>
      <w:drawing>
        <wp:inline distT="0" distB="0" distL="0" distR="0" wp14:anchorId="6A3FB253" wp14:editId="28A9119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B06CB5"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B5" w:rsidRPr="007A6280" w:rsidRDefault="00B06CB5" w:rsidP="006544C4">
      <w:pPr>
        <w:rPr>
          <w:lang w:val="fr-FR"/>
        </w:rPr>
      </w:pPr>
      <w:r w:rsidRPr="007A6280">
        <w:rPr>
          <w:lang w:val="fr-FR"/>
        </w:rPr>
        <w:separator/>
      </w:r>
    </w:p>
  </w:footnote>
  <w:footnote w:type="continuationSeparator" w:id="0">
    <w:p w:rsidR="00B06CB5" w:rsidRPr="007A6280" w:rsidRDefault="00B06CB5"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B96D41"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0C7286">
      <w:rPr>
        <w:rStyle w:val="Numeropagina"/>
        <w:noProof/>
        <w:lang w:val="en-GB"/>
      </w:rPr>
      <w:t>6</w:t>
    </w:r>
    <w:r>
      <w:rPr>
        <w:rStyle w:val="Numeropagina"/>
        <w:lang w:val="en-GB"/>
      </w:rPr>
      <w:fldChar w:fldCharType="end"/>
    </w:r>
    <w:r w:rsidR="00334EC5" w:rsidRPr="008B0BD9">
      <w:rPr>
        <w:lang w:val="en-GB"/>
      </w:rPr>
      <w:tab/>
      <w:t xml:space="preserve">DÉCISION </w:t>
    </w:r>
    <w:r>
      <w:rPr>
        <w:lang w:val="en-GB"/>
      </w:rPr>
      <w:t>BOSCO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rPr>
        <w:lang w:val="en-GB"/>
      </w:rPr>
    </w:pPr>
    <w:r w:rsidRPr="007A6280">
      <w:rPr>
        <w:lang w:val="fr-FR"/>
      </w:rPr>
      <w:tab/>
    </w:r>
    <w:r w:rsidRPr="008B0BD9">
      <w:rPr>
        <w:lang w:val="en-GB"/>
      </w:rPr>
      <w:t xml:space="preserve">DÉCISION </w:t>
    </w:r>
    <w:r w:rsidR="00B96D41">
      <w:rPr>
        <w:lang w:val="en-GB"/>
      </w:rPr>
      <w:t>BOSCO c. ITALIE</w:t>
    </w:r>
    <w:r w:rsidRPr="008B0BD9">
      <w:rPr>
        <w:lang w:val="en-GB"/>
      </w:rPr>
      <w:tab/>
    </w:r>
    <w:r w:rsidR="00B96D41">
      <w:rPr>
        <w:rStyle w:val="Numeropagina"/>
        <w:lang w:val="en-GB"/>
      </w:rPr>
      <w:fldChar w:fldCharType="begin"/>
    </w:r>
    <w:r w:rsidR="00B96D41">
      <w:rPr>
        <w:rStyle w:val="Numeropagina"/>
        <w:lang w:val="en-GB"/>
      </w:rPr>
      <w:instrText xml:space="preserve"> PAGE </w:instrText>
    </w:r>
    <w:r w:rsidR="00B96D41">
      <w:rPr>
        <w:rStyle w:val="Numeropagina"/>
        <w:lang w:val="en-GB"/>
      </w:rPr>
      <w:fldChar w:fldCharType="separate"/>
    </w:r>
    <w:r w:rsidR="000C7286">
      <w:rPr>
        <w:rStyle w:val="Numeropagina"/>
        <w:noProof/>
        <w:lang w:val="en-GB"/>
      </w:rPr>
      <w:t>5</w:t>
    </w:r>
    <w:r w:rsidR="00B96D41">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41" w:rsidRPr="00A45145" w:rsidRDefault="00B96D41" w:rsidP="00A45145">
    <w:pPr>
      <w:jc w:val="center"/>
    </w:pPr>
    <w:r>
      <w:rPr>
        <w:noProof/>
        <w:lang w:val="it-IT" w:eastAsia="it-IT"/>
      </w:rPr>
      <w:drawing>
        <wp:inline distT="0" distB="0" distL="0" distR="0" wp14:anchorId="26665361" wp14:editId="3E99739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B06CB5"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B96D41"/>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C7286"/>
    <w:rsid w:val="000D47AA"/>
    <w:rsid w:val="000D721F"/>
    <w:rsid w:val="000E069B"/>
    <w:rsid w:val="000E0E82"/>
    <w:rsid w:val="000E1DC5"/>
    <w:rsid w:val="000E223F"/>
    <w:rsid w:val="000E7D45"/>
    <w:rsid w:val="000F7851"/>
    <w:rsid w:val="00102A7B"/>
    <w:rsid w:val="00104E23"/>
    <w:rsid w:val="00111B0C"/>
    <w:rsid w:val="00120D6C"/>
    <w:rsid w:val="001257EC"/>
    <w:rsid w:val="00127F32"/>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6EDC"/>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34C3"/>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31EC"/>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1AFB"/>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AF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6CB5"/>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96D41"/>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D7587"/>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4134C3"/>
    <w:pPr>
      <w:jc w:val="both"/>
    </w:pPr>
    <w:rPr>
      <w:rFonts w:eastAsiaTheme="minorEastAsia"/>
      <w:sz w:val="24"/>
    </w:rPr>
  </w:style>
  <w:style w:type="paragraph" w:styleId="Titolo1">
    <w:name w:val="heading 1"/>
    <w:basedOn w:val="Normale"/>
    <w:next w:val="Normale"/>
    <w:link w:val="Titolo1Carattere"/>
    <w:uiPriority w:val="99"/>
    <w:semiHidden/>
    <w:rsid w:val="004134C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134C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134C3"/>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134C3"/>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134C3"/>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4134C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134C3"/>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4134C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4134C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134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4C3"/>
    <w:rPr>
      <w:rFonts w:ascii="Tahoma" w:eastAsiaTheme="minorEastAsia" w:hAnsi="Tahoma" w:cs="Tahoma"/>
      <w:sz w:val="16"/>
      <w:szCs w:val="16"/>
    </w:rPr>
  </w:style>
  <w:style w:type="character" w:styleId="Titolodellibro">
    <w:name w:val="Book Title"/>
    <w:uiPriority w:val="99"/>
    <w:semiHidden/>
    <w:qFormat/>
    <w:rsid w:val="004134C3"/>
    <w:rPr>
      <w:i/>
      <w:iCs/>
      <w:smallCaps/>
      <w:spacing w:val="5"/>
    </w:rPr>
  </w:style>
  <w:style w:type="paragraph" w:customStyle="1" w:styleId="ECHRHeader">
    <w:name w:val="ECHR_Header"/>
    <w:aliases w:val="Ju_Header"/>
    <w:basedOn w:val="Intestazione"/>
    <w:uiPriority w:val="4"/>
    <w:qFormat/>
    <w:rsid w:val="004134C3"/>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4134C3"/>
    <w:rPr>
      <w:color w:val="00B050"/>
    </w:rPr>
  </w:style>
  <w:style w:type="character" w:styleId="Enfasigrassetto">
    <w:name w:val="Strong"/>
    <w:uiPriority w:val="99"/>
    <w:semiHidden/>
    <w:qFormat/>
    <w:rsid w:val="004134C3"/>
    <w:rPr>
      <w:b/>
      <w:bCs/>
    </w:rPr>
  </w:style>
  <w:style w:type="paragraph" w:styleId="Nessunaspaziatura">
    <w:name w:val="No Spacing"/>
    <w:basedOn w:val="Normale"/>
    <w:link w:val="NessunaspaziaturaCarattere"/>
    <w:semiHidden/>
    <w:qFormat/>
    <w:rsid w:val="004134C3"/>
    <w:rPr>
      <w:sz w:val="22"/>
    </w:rPr>
  </w:style>
  <w:style w:type="character" w:customStyle="1" w:styleId="NessunaspaziaturaCarattere">
    <w:name w:val="Nessuna spaziatura Carattere"/>
    <w:basedOn w:val="Carpredefinitoparagrafo"/>
    <w:link w:val="Nessunaspaziatura"/>
    <w:semiHidden/>
    <w:rsid w:val="004134C3"/>
    <w:rPr>
      <w:rFonts w:eastAsiaTheme="minorEastAsia"/>
    </w:rPr>
  </w:style>
  <w:style w:type="paragraph" w:customStyle="1" w:styleId="JuAppQuestion">
    <w:name w:val="Ju_App_Question"/>
    <w:basedOn w:val="Normale"/>
    <w:uiPriority w:val="5"/>
    <w:qFormat/>
    <w:rsid w:val="004134C3"/>
    <w:pPr>
      <w:numPr>
        <w:numId w:val="29"/>
      </w:numPr>
      <w:jc w:val="left"/>
    </w:pPr>
    <w:rPr>
      <w:b/>
    </w:rPr>
  </w:style>
  <w:style w:type="paragraph" w:customStyle="1" w:styleId="ECHRParaQuote">
    <w:name w:val="ECHR_Para_Quote"/>
    <w:aliases w:val="Ju_Quot"/>
    <w:basedOn w:val="Normale"/>
    <w:uiPriority w:val="14"/>
    <w:qFormat/>
    <w:rsid w:val="004134C3"/>
    <w:pPr>
      <w:spacing w:before="120" w:after="120"/>
      <w:ind w:left="425" w:firstLine="142"/>
    </w:pPr>
    <w:rPr>
      <w:sz w:val="20"/>
    </w:rPr>
  </w:style>
  <w:style w:type="paragraph" w:customStyle="1" w:styleId="JuCase">
    <w:name w:val="Ju_Case"/>
    <w:basedOn w:val="Normale"/>
    <w:next w:val="ECHRPara"/>
    <w:uiPriority w:val="10"/>
    <w:semiHidden/>
    <w:rsid w:val="004134C3"/>
    <w:pPr>
      <w:ind w:firstLine="284"/>
    </w:pPr>
    <w:rPr>
      <w:b/>
    </w:rPr>
  </w:style>
  <w:style w:type="paragraph" w:customStyle="1" w:styleId="JuCourt">
    <w:name w:val="Ju_Court"/>
    <w:basedOn w:val="Normale"/>
    <w:next w:val="Normale"/>
    <w:uiPriority w:val="16"/>
    <w:qFormat/>
    <w:rsid w:val="004134C3"/>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4134C3"/>
    <w:pPr>
      <w:tabs>
        <w:tab w:val="clear" w:pos="3686"/>
        <w:tab w:val="clear" w:pos="7371"/>
        <w:tab w:val="center" w:pos="6146"/>
        <w:tab w:val="right" w:pos="12293"/>
      </w:tabs>
    </w:pPr>
  </w:style>
  <w:style w:type="paragraph" w:customStyle="1" w:styleId="JuInitialled">
    <w:name w:val="Ju_Initialled"/>
    <w:basedOn w:val="Normale"/>
    <w:uiPriority w:val="31"/>
    <w:qFormat/>
    <w:rsid w:val="004134C3"/>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4134C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134C3"/>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4134C3"/>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4134C3"/>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4134C3"/>
    <w:pPr>
      <w:ind w:left="340" w:hanging="340"/>
    </w:pPr>
  </w:style>
  <w:style w:type="paragraph" w:styleId="Titolo">
    <w:name w:val="Title"/>
    <w:basedOn w:val="Normale"/>
    <w:next w:val="Normale"/>
    <w:link w:val="TitoloCarattere"/>
    <w:uiPriority w:val="99"/>
    <w:semiHidden/>
    <w:qFormat/>
    <w:rsid w:val="004134C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4134C3"/>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4134C3"/>
    <w:pPr>
      <w:ind w:left="346" w:firstLine="0"/>
    </w:pPr>
  </w:style>
  <w:style w:type="paragraph" w:customStyle="1" w:styleId="JuListi">
    <w:name w:val="Ju_List_i"/>
    <w:basedOn w:val="Normale"/>
    <w:next w:val="JuLista"/>
    <w:uiPriority w:val="28"/>
    <w:qFormat/>
    <w:rsid w:val="004134C3"/>
    <w:pPr>
      <w:ind w:left="794"/>
    </w:pPr>
  </w:style>
  <w:style w:type="character" w:customStyle="1" w:styleId="JUNAMES">
    <w:name w:val="JU_NAMES"/>
    <w:uiPriority w:val="17"/>
    <w:qFormat/>
    <w:rsid w:val="004134C3"/>
    <w:rPr>
      <w:caps w:val="0"/>
      <w:smallCaps/>
    </w:rPr>
  </w:style>
  <w:style w:type="paragraph" w:customStyle="1" w:styleId="JuParaSub">
    <w:name w:val="Ju_Para_Sub"/>
    <w:basedOn w:val="ECHRPara"/>
    <w:uiPriority w:val="13"/>
    <w:qFormat/>
    <w:rsid w:val="004134C3"/>
    <w:pPr>
      <w:ind w:left="284"/>
    </w:pPr>
  </w:style>
  <w:style w:type="paragraph" w:customStyle="1" w:styleId="JuQuotSub">
    <w:name w:val="Ju_Quot_Sub"/>
    <w:basedOn w:val="ECHRParaQuote"/>
    <w:uiPriority w:val="15"/>
    <w:qFormat/>
    <w:rsid w:val="004134C3"/>
    <w:pPr>
      <w:ind w:left="567"/>
    </w:pPr>
  </w:style>
  <w:style w:type="paragraph" w:customStyle="1" w:styleId="ECHRHeading1">
    <w:name w:val="ECHR_Heading_1"/>
    <w:aliases w:val="Ju_H_I_Roman"/>
    <w:basedOn w:val="Titolo1"/>
    <w:next w:val="ECHRPara"/>
    <w:uiPriority w:val="19"/>
    <w:qFormat/>
    <w:rsid w:val="004134C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134C3"/>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4134C3"/>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4134C3"/>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134C3"/>
    <w:rPr>
      <w:sz w:val="24"/>
    </w:rPr>
  </w:style>
  <w:style w:type="character" w:customStyle="1" w:styleId="Titolo1Carattere">
    <w:name w:val="Titolo 1 Carattere"/>
    <w:basedOn w:val="Carpredefinitoparagrafo"/>
    <w:link w:val="Titolo1"/>
    <w:uiPriority w:val="99"/>
    <w:semiHidden/>
    <w:rsid w:val="004134C3"/>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4134C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134C3"/>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4134C3"/>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4134C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4134C3"/>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4134C3"/>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4134C3"/>
    <w:pPr>
      <w:keepNext/>
      <w:keepLines/>
      <w:spacing w:before="240"/>
      <w:ind w:firstLine="284"/>
    </w:pPr>
  </w:style>
  <w:style w:type="paragraph" w:customStyle="1" w:styleId="DecList">
    <w:name w:val="Dec_List"/>
    <w:basedOn w:val="Normale"/>
    <w:uiPriority w:val="9"/>
    <w:qFormat/>
    <w:rsid w:val="004134C3"/>
    <w:pPr>
      <w:spacing w:before="240"/>
      <w:ind w:left="284"/>
    </w:pPr>
  </w:style>
  <w:style w:type="character" w:customStyle="1" w:styleId="Titolo4Carattere">
    <w:name w:val="Titolo 4 Carattere"/>
    <w:basedOn w:val="Carpredefinitoparagrafo"/>
    <w:link w:val="Titolo4"/>
    <w:uiPriority w:val="99"/>
    <w:semiHidden/>
    <w:rsid w:val="004134C3"/>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4134C3"/>
    <w:pPr>
      <w:tabs>
        <w:tab w:val="left" w:pos="567"/>
        <w:tab w:val="left" w:pos="1134"/>
      </w:tabs>
      <w:jc w:val="left"/>
    </w:pPr>
  </w:style>
  <w:style w:type="character" w:customStyle="1" w:styleId="Titolo5Carattere">
    <w:name w:val="Titolo 5 Carattere"/>
    <w:basedOn w:val="Carpredefinitoparagrafo"/>
    <w:link w:val="Titolo5"/>
    <w:uiPriority w:val="99"/>
    <w:semiHidden/>
    <w:rsid w:val="004134C3"/>
    <w:rPr>
      <w:rFonts w:asciiTheme="majorHAnsi" w:eastAsiaTheme="majorEastAsia" w:hAnsiTheme="majorHAnsi" w:cstheme="majorBidi"/>
      <w:b/>
      <w:bCs/>
      <w:color w:val="808080"/>
    </w:rPr>
  </w:style>
  <w:style w:type="paragraph" w:customStyle="1" w:styleId="JuTitle">
    <w:name w:val="Ju_Title"/>
    <w:basedOn w:val="Normale"/>
    <w:next w:val="ECHRPara"/>
    <w:uiPriority w:val="3"/>
    <w:qFormat/>
    <w:rsid w:val="004134C3"/>
    <w:pPr>
      <w:spacing w:before="720" w:after="240"/>
      <w:jc w:val="center"/>
      <w:outlineLvl w:val="0"/>
    </w:pPr>
    <w:rPr>
      <w:rFonts w:asciiTheme="majorHAnsi" w:hAnsiTheme="majorHAnsi"/>
      <w:b/>
      <w:caps/>
    </w:rPr>
  </w:style>
  <w:style w:type="paragraph" w:customStyle="1" w:styleId="OpiH1">
    <w:name w:val="Opi_H_1"/>
    <w:basedOn w:val="ECHRHeading2"/>
    <w:uiPriority w:val="42"/>
    <w:semiHidden/>
    <w:qFormat/>
    <w:rsid w:val="004134C3"/>
    <w:pPr>
      <w:ind w:left="635" w:hanging="357"/>
      <w:outlineLvl w:val="2"/>
    </w:pPr>
  </w:style>
  <w:style w:type="character" w:styleId="Enfasidelicata">
    <w:name w:val="Subtle Emphasis"/>
    <w:uiPriority w:val="99"/>
    <w:semiHidden/>
    <w:qFormat/>
    <w:rsid w:val="004134C3"/>
    <w:rPr>
      <w:i/>
      <w:iCs/>
    </w:rPr>
  </w:style>
  <w:style w:type="paragraph" w:customStyle="1" w:styleId="OpiHa">
    <w:name w:val="Opi_H_a"/>
    <w:basedOn w:val="ECHRHeading3"/>
    <w:uiPriority w:val="43"/>
    <w:semiHidden/>
    <w:qFormat/>
    <w:rsid w:val="004134C3"/>
    <w:pPr>
      <w:ind w:left="833" w:hanging="357"/>
      <w:outlineLvl w:val="3"/>
    </w:pPr>
    <w:rPr>
      <w:b/>
      <w:i w:val="0"/>
      <w:sz w:val="20"/>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1"/>
    <w:next w:val="OpiPara"/>
    <w:uiPriority w:val="41"/>
    <w:semiHidden/>
    <w:qFormat/>
    <w:rsid w:val="004134C3"/>
    <w:pPr>
      <w:tabs>
        <w:tab w:val="clear" w:pos="357"/>
      </w:tabs>
      <w:outlineLvl w:val="1"/>
    </w:pPr>
    <w:rPr>
      <w:b/>
    </w:rPr>
  </w:style>
  <w:style w:type="paragraph" w:customStyle="1" w:styleId="OpiHi">
    <w:name w:val="Opi_H_i"/>
    <w:basedOn w:val="ECHRHeading4"/>
    <w:uiPriority w:val="44"/>
    <w:semiHidden/>
    <w:qFormat/>
    <w:rsid w:val="004134C3"/>
    <w:pPr>
      <w:ind w:left="1037" w:hanging="357"/>
      <w:outlineLvl w:val="4"/>
    </w:pPr>
    <w:rPr>
      <w:b w:val="0"/>
      <w:i/>
    </w:rPr>
  </w:style>
  <w:style w:type="paragraph" w:customStyle="1" w:styleId="ECHRTitleCentre2">
    <w:name w:val="ECHR_Title_Centre_2"/>
    <w:aliases w:val="Dec_H_Case"/>
    <w:basedOn w:val="Normale"/>
    <w:next w:val="ECHRPara"/>
    <w:uiPriority w:val="8"/>
    <w:qFormat/>
    <w:rsid w:val="004134C3"/>
    <w:pPr>
      <w:spacing w:after="240"/>
      <w:jc w:val="center"/>
      <w:outlineLvl w:val="0"/>
    </w:pPr>
    <w:rPr>
      <w:rFonts w:asciiTheme="majorHAnsi" w:hAnsiTheme="majorHAnsi"/>
    </w:rPr>
  </w:style>
  <w:style w:type="character" w:styleId="Enfasicorsivo">
    <w:name w:val="Emphasis"/>
    <w:uiPriority w:val="99"/>
    <w:semiHidden/>
    <w:qFormat/>
    <w:rsid w:val="004134C3"/>
    <w:rPr>
      <w:b/>
      <w:bCs/>
      <w:i/>
      <w:iCs/>
      <w:spacing w:val="10"/>
      <w:bdr w:val="none" w:sz="0" w:space="0" w:color="auto"/>
      <w:shd w:val="clear" w:color="auto" w:fill="auto"/>
    </w:rPr>
  </w:style>
  <w:style w:type="paragraph" w:styleId="Pidipagina">
    <w:name w:val="footer"/>
    <w:basedOn w:val="Normale"/>
    <w:link w:val="PidipaginaCarattere"/>
    <w:uiPriority w:val="57"/>
    <w:semiHidden/>
    <w:rsid w:val="004134C3"/>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134C3"/>
    <w:rPr>
      <w:sz w:val="24"/>
    </w:rPr>
  </w:style>
  <w:style w:type="character" w:styleId="Rimandonotaapidipagina">
    <w:name w:val="footnote reference"/>
    <w:basedOn w:val="Carpredefinitoparagrafo"/>
    <w:uiPriority w:val="99"/>
    <w:semiHidden/>
    <w:rsid w:val="004134C3"/>
    <w:rPr>
      <w:vertAlign w:val="superscript"/>
    </w:rPr>
  </w:style>
  <w:style w:type="paragraph" w:styleId="Testonotaapidipagina">
    <w:name w:val="footnote text"/>
    <w:basedOn w:val="Normale"/>
    <w:link w:val="TestonotaapidipaginaCarattere"/>
    <w:uiPriority w:val="99"/>
    <w:semiHidden/>
    <w:rsid w:val="004134C3"/>
    <w:rPr>
      <w:sz w:val="20"/>
      <w:szCs w:val="20"/>
    </w:rPr>
  </w:style>
  <w:style w:type="character" w:customStyle="1" w:styleId="TestonotaapidipaginaCarattere">
    <w:name w:val="Testo nota a piè di pagina Carattere"/>
    <w:basedOn w:val="Carpredefinitoparagrafo"/>
    <w:link w:val="Testonotaapidipagina"/>
    <w:uiPriority w:val="99"/>
    <w:semiHidden/>
    <w:rsid w:val="004134C3"/>
    <w:rPr>
      <w:rFonts w:eastAsiaTheme="minorEastAsia"/>
      <w:sz w:val="20"/>
      <w:szCs w:val="20"/>
    </w:rPr>
  </w:style>
  <w:style w:type="character" w:customStyle="1" w:styleId="Titolo6Carattere">
    <w:name w:val="Titolo 6 Carattere"/>
    <w:basedOn w:val="Carpredefinitoparagrafo"/>
    <w:link w:val="Titolo6"/>
    <w:uiPriority w:val="99"/>
    <w:semiHidden/>
    <w:rsid w:val="004134C3"/>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4134C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134C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134C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134C3"/>
    <w:rPr>
      <w:color w:val="0072BC" w:themeColor="hyperlink"/>
      <w:u w:val="single"/>
    </w:rPr>
  </w:style>
  <w:style w:type="character" w:styleId="Enfasiintensa">
    <w:name w:val="Intense Emphasis"/>
    <w:uiPriority w:val="99"/>
    <w:semiHidden/>
    <w:qFormat/>
    <w:rsid w:val="004134C3"/>
    <w:rPr>
      <w:b/>
      <w:bCs/>
    </w:rPr>
  </w:style>
  <w:style w:type="paragraph" w:styleId="Citazioneintensa">
    <w:name w:val="Intense Quote"/>
    <w:basedOn w:val="Normale"/>
    <w:next w:val="Normale"/>
    <w:link w:val="CitazioneintensaCarattere"/>
    <w:uiPriority w:val="99"/>
    <w:semiHidden/>
    <w:qFormat/>
    <w:rsid w:val="004134C3"/>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4134C3"/>
    <w:rPr>
      <w:rFonts w:eastAsiaTheme="minorEastAsia"/>
      <w:b/>
      <w:bCs/>
      <w:i/>
      <w:iCs/>
      <w:lang w:bidi="en-US"/>
    </w:rPr>
  </w:style>
  <w:style w:type="character" w:styleId="Riferimentointenso">
    <w:name w:val="Intense Reference"/>
    <w:uiPriority w:val="99"/>
    <w:semiHidden/>
    <w:qFormat/>
    <w:rsid w:val="004134C3"/>
    <w:rPr>
      <w:smallCaps/>
      <w:spacing w:val="5"/>
      <w:u w:val="single"/>
    </w:rPr>
  </w:style>
  <w:style w:type="paragraph" w:styleId="Paragrafoelenco">
    <w:name w:val="List Paragraph"/>
    <w:basedOn w:val="Normale"/>
    <w:uiPriority w:val="99"/>
    <w:semiHidden/>
    <w:qFormat/>
    <w:rsid w:val="004134C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134C3"/>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4134C3"/>
    <w:rPr>
      <w:rFonts w:eastAsiaTheme="minorEastAsia"/>
      <w:i/>
      <w:iCs/>
      <w:lang w:bidi="en-US"/>
    </w:rPr>
  </w:style>
  <w:style w:type="character" w:styleId="Riferimentodelicato">
    <w:name w:val="Subtle Reference"/>
    <w:uiPriority w:val="99"/>
    <w:semiHidden/>
    <w:qFormat/>
    <w:rsid w:val="004134C3"/>
    <w:rPr>
      <w:smallCaps/>
    </w:rPr>
  </w:style>
  <w:style w:type="table" w:styleId="Grigliatabella">
    <w:name w:val="Table Grid"/>
    <w:basedOn w:val="Tabellanormale"/>
    <w:uiPriority w:val="59"/>
    <w:semiHidden/>
    <w:rsid w:val="004134C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134C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4134C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4134C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134C3"/>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134C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134C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134C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
    <w:name w:val="Opi_Para"/>
    <w:basedOn w:val="ECHRPara"/>
    <w:uiPriority w:val="46"/>
    <w:semiHidden/>
    <w:qFormat/>
    <w:rsid w:val="004134C3"/>
  </w:style>
  <w:style w:type="paragraph" w:customStyle="1" w:styleId="OpiParaSub">
    <w:name w:val="Opi_Para_Sub"/>
    <w:basedOn w:val="JuParaSub"/>
    <w:uiPriority w:val="47"/>
    <w:semiHidden/>
    <w:qFormat/>
    <w:rsid w:val="004134C3"/>
  </w:style>
  <w:style w:type="paragraph" w:styleId="Sottotitolo">
    <w:name w:val="Subtitle"/>
    <w:basedOn w:val="Normale"/>
    <w:next w:val="Normale"/>
    <w:link w:val="SottotitoloCarattere"/>
    <w:uiPriority w:val="99"/>
    <w:semiHidden/>
    <w:qFormat/>
    <w:rsid w:val="004134C3"/>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4134C3"/>
    <w:pPr>
      <w:ind w:firstLine="284"/>
    </w:pPr>
  </w:style>
  <w:style w:type="character" w:customStyle="1" w:styleId="SottotitoloCarattere">
    <w:name w:val="Sottotitolo Carattere"/>
    <w:basedOn w:val="Carpredefinitoparagrafo"/>
    <w:link w:val="Sottotitolo"/>
    <w:uiPriority w:val="99"/>
    <w:semiHidden/>
    <w:rsid w:val="004134C3"/>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134C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4134C3"/>
    <w:pPr>
      <w:tabs>
        <w:tab w:val="center" w:pos="851"/>
        <w:tab w:val="center" w:pos="6407"/>
      </w:tabs>
      <w:spacing w:before="720"/>
      <w:jc w:val="left"/>
    </w:pPr>
  </w:style>
  <w:style w:type="paragraph" w:customStyle="1" w:styleId="OpiQuot">
    <w:name w:val="Opi_Quot"/>
    <w:basedOn w:val="ECHRParaQuote"/>
    <w:uiPriority w:val="48"/>
    <w:semiHidden/>
    <w:qFormat/>
    <w:rsid w:val="004134C3"/>
  </w:style>
  <w:style w:type="paragraph" w:customStyle="1" w:styleId="DecHTitle">
    <w:name w:val="Dec_H_Title"/>
    <w:basedOn w:val="ECHRTitleCentre1"/>
    <w:uiPriority w:val="7"/>
    <w:qFormat/>
    <w:rsid w:val="004134C3"/>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4134C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134C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134C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QuotSub">
    <w:name w:val="Opi_Quot_Sub"/>
    <w:basedOn w:val="JuQuotSub"/>
    <w:uiPriority w:val="49"/>
    <w:semiHidden/>
    <w:qFormat/>
    <w:rsid w:val="004134C3"/>
  </w:style>
  <w:style w:type="paragraph" w:customStyle="1" w:styleId="ECHRFooter">
    <w:name w:val="ECHR_Footer"/>
    <w:aliases w:val="Footer_ECHR"/>
    <w:basedOn w:val="Pidipagina"/>
    <w:uiPriority w:val="57"/>
    <w:semiHidden/>
    <w:rsid w:val="004134C3"/>
    <w:pPr>
      <w:jc w:val="left"/>
    </w:pPr>
    <w:rPr>
      <w:sz w:val="8"/>
    </w:rPr>
  </w:style>
  <w:style w:type="paragraph" w:customStyle="1" w:styleId="ECHRFooterLine">
    <w:name w:val="ECHR_Footer_Line"/>
    <w:aliases w:val="Footer_Line"/>
    <w:basedOn w:val="Normale"/>
    <w:next w:val="ECHRFooter"/>
    <w:uiPriority w:val="57"/>
    <w:semiHidden/>
    <w:rsid w:val="004134C3"/>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4134C3"/>
    <w:pPr>
      <w:jc w:val="center"/>
      <w:outlineLvl w:val="0"/>
    </w:pPr>
    <w:rPr>
      <w:i/>
    </w:rPr>
  </w:style>
  <w:style w:type="character" w:customStyle="1" w:styleId="ECHRParaChar">
    <w:name w:val="ECHR_Para Char"/>
    <w:aliases w:val="Ju_Para Char"/>
    <w:link w:val="ECHRPara"/>
    <w:uiPriority w:val="12"/>
    <w:rsid w:val="00B96D41"/>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E7BB-01C0-4C3C-88DB-817820504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403BCC-A7A2-4045-8332-07A5F1C9F8B3}">
  <ds:schemaRefs>
    <ds:schemaRef ds:uri="http://schemas.microsoft.com/sharepoint/v3/contenttype/forms"/>
  </ds:schemaRefs>
</ds:datastoreItem>
</file>

<file path=customXml/itemProps3.xml><?xml version="1.0" encoding="utf-8"?>
<ds:datastoreItem xmlns:ds="http://schemas.openxmlformats.org/officeDocument/2006/customXml" ds:itemID="{40DA5A0B-5DDC-48C7-8936-B8F7FB4DAF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D97AF-E6F8-49D2-A5F3-574711E9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11113</Characters>
  <Application>Microsoft Office Word</Application>
  <DocSecurity>0</DocSecurity>
  <Lines>92</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2017-10-23T13:17:00Z</dcterms:created>
  <dcterms:modified xsi:type="dcterms:W3CDTF">2017-10-23T13:17:00Z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18132/10</vt:lpwstr>
  </property>
  <property fmtid="{D5CDD505-2E9C-101B-9397-08002B2CF9AE}" pid="4" name="CASEID">
    <vt:lpwstr>632151</vt:lpwstr>
  </property>
  <property fmtid="{D5CDD505-2E9C-101B-9397-08002B2CF9AE}" pid="5" name="ContentTypeId">
    <vt:lpwstr>0x010100558EB02BDB9E204AB350EDD385B68E10</vt:lpwstr>
  </property>
</Properties>
</file>